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Retention: why customers left, and who looks like them now</w:t>
      </w:r>
    </w:p>
    <w:p>
      <w:pPr>
        <w:pStyle w:val="Subtitle"/>
      </w:pPr>
      <w:r>
        <w:t>Twelve months to 30 Sep 2026, and the renewals of the next 180 days</w:t>
      </w:r>
    </w:p>
    <w:p>
      <w:pPr>
        <w:pStyle w:val="Heading2"/>
      </w:pPr>
      <w:r>
        <w:t>Retention over the last 12 months</w:t>
      </w:r>
    </w:p>
    <w:p>
      <w:pPr>
        <w:pStyle w:val="Body"/>
      </w:pPr>
      <w:r>
        <w:t>12 customers left in the 12 months to 30 Sep 2026, taking £443,850 of ARR.</w:t>
      </w:r>
    </w:p>
    <w:tbl>
      <w:tblPr>
        <w:tblStyle w:val="BBrainKPI"/>
        <w:tblW w:type="auto" w:w="0"/>
        <w:tblLook w:firstColumn="1" w:firstRow="1" w:lastColumn="0" w:lastRow="0" w:noHBand="0" w:noVBand="1" w:val="04A0"/>
      </w:tblPr>
      <w:tblGrid>
        <w:gridCol w:w="2616"/>
        <w:gridCol w:w="2616"/>
        <w:gridCol w:w="2616"/>
        <w:gridCol w:w="2616"/>
      </w:tblGrid>
      <w:tr>
        <w:tc>
          <w:tcPr>
            <w:tcW w:type="dxa" w:w="2616"/>
          </w:tcPr>
          <w:p>
            <w:pPr>
              <w:pStyle w:val="KPIfigure"/>
            </w:pPr>
            <w:r>
              <w:t>72.7%</w:t>
            </w:r>
          </w:p>
          <w:p>
            <w:pPr>
              <w:pStyle w:val="KPIlabel"/>
            </w:pPr>
            <w:r>
              <w:t>Logo retention</w:t>
            </w:r>
          </w:p>
          <w:p>
            <w:pPr>
              <w:pStyle w:val="KPInote"/>
            </w:pPr>
          </w:p>
        </w:tc>
        <w:tc>
          <w:tcPr>
            <w:tcW w:type="dxa" w:w="2616"/>
          </w:tcPr>
          <w:p>
            <w:pPr>
              <w:pStyle w:val="KPIfigure"/>
            </w:pPr>
            <w:r>
              <w:t>97.3%</w:t>
            </w:r>
          </w:p>
          <w:p>
            <w:pPr>
              <w:pStyle w:val="KPIlabel"/>
            </w:pPr>
            <w:r>
              <w:t>Net retention</w:t>
            </w:r>
          </w:p>
          <w:p>
            <w:pPr>
              <w:pStyle w:val="KPInote"/>
            </w:pPr>
          </w:p>
        </w:tc>
        <w:tc>
          <w:tcPr>
            <w:tcW w:type="dxa" w:w="2616"/>
          </w:tcPr>
          <w:p>
            <w:pPr>
              <w:pStyle w:val="KPIfigure"/>
            </w:pPr>
            <w:r>
              <w:t>75.6%</w:t>
            </w:r>
          </w:p>
          <w:p>
            <w:pPr>
              <w:pStyle w:val="KPIlabel"/>
            </w:pPr>
            <w:r>
              <w:t>Gross retention</w:t>
            </w:r>
          </w:p>
          <w:p>
            <w:pPr>
              <w:pStyle w:val="KPInote"/>
            </w:pPr>
          </w:p>
        </w:tc>
        <w:tc>
          <w:tcPr>
            <w:tcW w:type="dxa" w:w="2616"/>
          </w:tcPr>
          <w:p>
            <w:pPr>
              <w:pStyle w:val="KPIfigure"/>
            </w:pPr>
            <w:r>
              <w:t>£443,850</w:t>
            </w:r>
          </w:p>
          <w:p>
            <w:pPr>
              <w:pStyle w:val="KPIlabel"/>
            </w:pPr>
            <w:r>
              <w:t>ARR lost</w:t>
            </w:r>
          </w:p>
          <w:p>
            <w:pPr>
              <w:pStyle w:val="KPInote"/>
            </w:pPr>
          </w:p>
        </w:tc>
      </w:tr>
    </w:tbl>
    <w:p>
      <w:pPr>
        <w:pStyle w:val="Body"/>
        <w:spacing w:after="0"/>
      </w:pPr>
    </w:p>
    <w:p>
      <w:pPr>
        <w:pStyle w:val="Source"/>
        <w:spacing w:after="200"/>
      </w:pPr>
      <w:r>
        <w:t>Source: B-Brain facts, as at Fri 9 Oct 2026; facts arr_bridge (period 12)</w:t>
      </w:r>
    </w:p>
    <w:p>
      <w:pPr>
        <w:pStyle w:val="Heading2"/>
      </w:pPr>
      <w:r>
        <w:t>Why they left</w:t>
      </w:r>
    </w:p>
    <w:p>
      <w:pPr>
        <w:pStyle w:val="Body"/>
        <w:keepNext/>
      </w:pPr>
      <w:r>
        <w:drawing>
          <wp:inline xmlns:a="http://schemas.openxmlformats.org/drawingml/2006/main" xmlns:pic="http://schemas.openxmlformats.org/drawingml/2006/picture">
            <wp:extent cx="6645600" cy="93592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04b2d2378e1-b7ecea65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45600" cy="9359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Figurecaption"/>
      </w:pPr>
      <w:r>
        <w:t>Figure 1. The lost renewal deal's reason, as the CRM records it</w:t>
      </w:r>
    </w:p>
    <w:p>
      <w:pPr>
        <w:pStyle w:val="Source"/>
        <w:spacing w:after="200"/>
      </w:pPr>
      <w:r>
        <w:t>Source: B-Brain facts, as at Fri 9 Oct 2026; query chat.arr_moves, chat.deals</w:t>
      </w:r>
    </w:p>
    <w:p>
      <w:pPr>
        <w:pStyle w:val="Heading1"/>
      </w:pPr>
      <w:r>
        <w:t>What the lost customers had in common</w:t>
      </w:r>
    </w:p>
    <w:p>
      <w:pPr>
        <w:pStyle w:val="Body"/>
      </w:pPr>
      <w:r>
        <w:t>16 customers have left since BB-Demo began. The largest reason by ARR is budget: 6 customers and £192,150.</w:t>
      </w:r>
    </w:p>
    <w:p>
      <w:pPr>
        <w:pStyle w:val="ListBullet"/>
      </w:pPr>
      <w:r>
        <w:t>budget: 6 customers, £192,150</w:t>
      </w:r>
    </w:p>
    <w:p>
      <w:pPr>
        <w:pStyle w:val="ListBullet"/>
      </w:pPr>
      <w:r>
        <w:t>built it in-house: 6 customers, £166,000</w:t>
      </w:r>
    </w:p>
    <w:p>
      <w:pPr>
        <w:pStyle w:val="ListBullet"/>
      </w:pPr>
      <w:r>
        <w:t>acquired, moved to the buyer's tool: 3 customers, £123,200</w:t>
      </w:r>
    </w:p>
    <w:p>
      <w:pPr>
        <w:pStyle w:val="ListBullet"/>
      </w:pPr>
      <w:r>
        <w:t>insolvent: 1 customer, £44,000</w:t>
      </w:r>
    </w:p>
    <w:p>
      <w:pPr>
        <w:pStyle w:val="Source"/>
        <w:spacing w:after="200"/>
      </w:pPr>
      <w:r>
        <w:t>Source: B-Brain facts, as at Fri 9 Oct 2026; query chat.arr_moves, chat.deals</w:t>
      </w:r>
    </w:p>
    <w:p>
      <w:pPr>
        <w:pStyle w:val="Heading2"/>
      </w:pPr>
      <w:r>
        <w:t>Every customer lost</w:t>
      </w:r>
    </w:p>
    <w:tbl>
      <w:tblPr>
        <w:tblStyle w:val="BBrainPlain"/>
        <w:tblW w:type="auto" w:w="0"/>
        <w:tblLook w:firstColumn="1" w:firstRow="1" w:lastColumn="0" w:lastRow="0" w:noHBand="1" w:noVBand="1" w:val="04A0"/>
      </w:tblPr>
      <w:tblGrid>
        <w:gridCol w:w="2616"/>
        <w:gridCol w:w="2616"/>
        <w:gridCol w:w="2616"/>
        <w:gridCol w:w="2616"/>
      </w:tblGrid>
      <w:tr>
        <w:trPr>
          <w:tblHeader/>
        </w:trPr>
        <w:tc>
          <w:tcPr>
            <w:tcW w:type="dxa" w:w="2616"/>
          </w:tcPr>
          <w:p>
            <w:pPr>
              <w:keepNext/>
            </w:pPr>
            <w:r>
              <w:rPr>
                <w:b/>
                <w:color w:val="1F2430"/>
              </w:rPr>
              <w:t>Organisation</w:t>
            </w:r>
          </w:p>
        </w:tc>
        <w:tc>
          <w:tcPr>
            <w:tcW w:type="dxa" w:w="2616"/>
          </w:tcPr>
          <w:p>
            <w:pPr>
              <w:keepNext/>
            </w:pPr>
            <w:r>
              <w:rPr>
                <w:b/>
                <w:color w:val="1F2430"/>
              </w:rPr>
              <w:t>Left</w:t>
            </w:r>
          </w:p>
        </w:tc>
        <w:tc>
          <w:tcPr>
            <w:tcW w:type="dxa" w:w="2616"/>
          </w:tcPr>
          <w:p>
            <w:pPr>
              <w:keepNext/>
              <w:jc w:val="right"/>
            </w:pPr>
            <w:r>
              <w:rPr>
                <w:b/>
                <w:color w:val="1F2430"/>
              </w:rPr>
              <w:t>ARR lost</w:t>
            </w:r>
          </w:p>
        </w:tc>
        <w:tc>
          <w:tcPr>
            <w:tcW w:type="dxa" w:w="2616"/>
          </w:tcPr>
          <w:p>
            <w:pPr>
              <w:keepNext/>
            </w:pPr>
            <w:r>
              <w:rPr>
                <w:b/>
                <w:color w:val="1F2430"/>
              </w:rPr>
              <w:t>Reason in the CRM</w:t>
            </w:r>
          </w:p>
        </w:tc>
      </w:tr>
      <w:tr>
        <w:tc>
          <w:tcPr>
            <w:tcW w:type="dxa" w:w="2616"/>
          </w:tcPr>
          <w:p>
            <w:r>
              <w:t>Marchbank Couriers</w:t>
            </w:r>
          </w:p>
        </w:tc>
        <w:tc>
          <w:tcPr>
            <w:tcW w:type="dxa" w:w="2616"/>
          </w:tcPr>
          <w:p>
            <w:r>
              <w:t>Nov 2024</w:t>
            </w:r>
          </w:p>
        </w:tc>
        <w:tc>
          <w:tcPr>
            <w:tcW w:type="dxa" w:w="2616"/>
          </w:tcPr>
          <w:p>
            <w:pPr>
              <w:jc w:val="right"/>
            </w:pPr>
            <w:r>
              <w:rPr>
                <w:rFonts w:ascii="Consolas" w:hAnsi="Consolas"/>
              </w:rPr>
              <w:t>£19,500</w:t>
            </w:r>
          </w:p>
        </w:tc>
        <w:tc>
          <w:tcPr>
            <w:tcW w:type="dxa" w:w="2616"/>
          </w:tcPr>
          <w:p>
            <w:r>
              <w:t>built it in-house</w:t>
            </w:r>
          </w:p>
        </w:tc>
      </w:tr>
      <w:tr>
        <w:tc>
          <w:tcPr>
            <w:tcW w:type="dxa" w:w="2616"/>
          </w:tcPr>
          <w:p>
            <w:r>
              <w:t>Tannahill Systems</w:t>
            </w:r>
          </w:p>
        </w:tc>
        <w:tc>
          <w:tcPr>
            <w:tcW w:type="dxa" w:w="2616"/>
          </w:tcPr>
          <w:p>
            <w:r>
              <w:t>Apr 2025</w:t>
            </w:r>
          </w:p>
        </w:tc>
        <w:tc>
          <w:tcPr>
            <w:tcW w:type="dxa" w:w="2616"/>
          </w:tcPr>
          <w:p>
            <w:pPr>
              <w:jc w:val="right"/>
            </w:pPr>
            <w:r>
              <w:rPr>
                <w:rFonts w:ascii="Consolas" w:hAnsi="Consolas"/>
              </w:rPr>
              <w:t>£19,500</w:t>
            </w:r>
          </w:p>
        </w:tc>
        <w:tc>
          <w:tcPr>
            <w:tcW w:type="dxa" w:w="2616"/>
          </w:tcPr>
          <w:p>
            <w:r>
              <w:t>budget</w:t>
            </w:r>
          </w:p>
        </w:tc>
      </w:tr>
      <w:tr>
        <w:tc>
          <w:tcPr>
            <w:tcW w:type="dxa" w:w="2616"/>
          </w:tcPr>
          <w:p>
            <w:r>
              <w:t>Corriemoor Foods</w:t>
            </w:r>
          </w:p>
        </w:tc>
        <w:tc>
          <w:tcPr>
            <w:tcW w:type="dxa" w:w="2616"/>
          </w:tcPr>
          <w:p>
            <w:r>
              <w:t>Aug 2025</w:t>
            </w:r>
          </w:p>
        </w:tc>
        <w:tc>
          <w:tcPr>
            <w:tcW w:type="dxa" w:w="2616"/>
          </w:tcPr>
          <w:p>
            <w:pPr>
              <w:jc w:val="right"/>
            </w:pPr>
            <w:r>
              <w:rPr>
                <w:rFonts w:ascii="Consolas" w:hAnsi="Consolas"/>
              </w:rPr>
              <w:t>£19,500</w:t>
            </w:r>
          </w:p>
        </w:tc>
        <w:tc>
          <w:tcPr>
            <w:tcW w:type="dxa" w:w="2616"/>
          </w:tcPr>
          <w:p>
            <w:r>
              <w:t>built it in-house</w:t>
            </w:r>
          </w:p>
        </w:tc>
      </w:tr>
      <w:tr>
        <w:tc>
          <w:tcPr>
            <w:tcW w:type="dxa" w:w="2616"/>
          </w:tcPr>
          <w:p>
            <w:r>
              <w:t>Ardenmore Pension Administration</w:t>
            </w:r>
          </w:p>
        </w:tc>
        <w:tc>
          <w:tcPr>
            <w:tcW w:type="dxa" w:w="2616"/>
          </w:tcPr>
          <w:p>
            <w:r>
              <w:t>Aug 2025</w:t>
            </w:r>
          </w:p>
        </w:tc>
        <w:tc>
          <w:tcPr>
            <w:tcW w:type="dxa" w:w="2616"/>
          </w:tcPr>
          <w:p>
            <w:pPr>
              <w:jc w:val="right"/>
            </w:pPr>
            <w:r>
              <w:rPr>
                <w:rFonts w:ascii="Consolas" w:hAnsi="Consolas"/>
              </w:rPr>
              <w:t>£23,000</w:t>
            </w:r>
          </w:p>
        </w:tc>
        <w:tc>
          <w:tcPr>
            <w:tcW w:type="dxa" w:w="2616"/>
          </w:tcPr>
          <w:p>
            <w:r>
              <w:t>budget</w:t>
            </w:r>
          </w:p>
        </w:tc>
      </w:tr>
      <w:tr>
        <w:tc>
          <w:tcPr>
            <w:tcW w:type="dxa" w:w="2616"/>
          </w:tcPr>
          <w:p>
            <w:r>
              <w:t>Saltdean Hart Insurance Brokers</w:t>
            </w:r>
          </w:p>
        </w:tc>
        <w:tc>
          <w:tcPr>
            <w:tcW w:type="dxa" w:w="2616"/>
          </w:tcPr>
          <w:p>
            <w:r>
              <w:t>Nov 2025</w:t>
            </w:r>
          </w:p>
        </w:tc>
        <w:tc>
          <w:tcPr>
            <w:tcW w:type="dxa" w:w="2616"/>
          </w:tcPr>
          <w:p>
            <w:pPr>
              <w:jc w:val="right"/>
            </w:pPr>
            <w:r>
              <w:rPr>
                <w:rFonts w:ascii="Consolas" w:hAnsi="Consolas"/>
              </w:rPr>
              <w:t>£39,600</w:t>
            </w:r>
          </w:p>
        </w:tc>
        <w:tc>
          <w:tcPr>
            <w:tcW w:type="dxa" w:w="2616"/>
          </w:tcPr>
          <w:p>
            <w:r>
              <w:t>acquired, moved to the buyer's tool</w:t>
            </w:r>
          </w:p>
        </w:tc>
      </w:tr>
      <w:tr>
        <w:tc>
          <w:tcPr>
            <w:tcW w:type="dxa" w:w="2616"/>
          </w:tcPr>
          <w:p>
            <w:r>
              <w:t>Stainmore Haulage</w:t>
            </w:r>
          </w:p>
        </w:tc>
        <w:tc>
          <w:tcPr>
            <w:tcW w:type="dxa" w:w="2616"/>
          </w:tcPr>
          <w:p>
            <w:r>
              <w:t>Nov 2025</w:t>
            </w:r>
          </w:p>
        </w:tc>
        <w:tc>
          <w:tcPr>
            <w:tcW w:type="dxa" w:w="2616"/>
          </w:tcPr>
          <w:p>
            <w:pPr>
              <w:jc w:val="right"/>
            </w:pPr>
            <w:r>
              <w:rPr>
                <w:rFonts w:ascii="Consolas" w:hAnsi="Consolas"/>
              </w:rPr>
              <w:t>£19,500</w:t>
            </w:r>
          </w:p>
        </w:tc>
        <w:tc>
          <w:tcPr>
            <w:tcW w:type="dxa" w:w="2616"/>
          </w:tcPr>
          <w:p>
            <w:r>
              <w:t>built it in-house</w:t>
            </w:r>
          </w:p>
        </w:tc>
      </w:tr>
      <w:tr>
        <w:tc>
          <w:tcPr>
            <w:tcW w:type="dxa" w:w="2616"/>
          </w:tcPr>
          <w:p>
            <w:r>
              <w:t>Whitlingham Wealth</w:t>
            </w:r>
          </w:p>
        </w:tc>
        <w:tc>
          <w:tcPr>
            <w:tcW w:type="dxa" w:w="2616"/>
          </w:tcPr>
          <w:p>
            <w:r>
              <w:t>Nov 2025</w:t>
            </w:r>
          </w:p>
        </w:tc>
        <w:tc>
          <w:tcPr>
            <w:tcW w:type="dxa" w:w="2616"/>
          </w:tcPr>
          <w:p>
            <w:pPr>
              <w:jc w:val="right"/>
            </w:pPr>
            <w:r>
              <w:rPr>
                <w:rFonts w:ascii="Consolas" w:hAnsi="Consolas"/>
              </w:rPr>
              <w:t>£39,600</w:t>
            </w:r>
          </w:p>
        </w:tc>
        <w:tc>
          <w:tcPr>
            <w:tcW w:type="dxa" w:w="2616"/>
          </w:tcPr>
          <w:p>
            <w:r>
              <w:t>budget</w:t>
            </w:r>
          </w:p>
        </w:tc>
      </w:tr>
      <w:tr>
        <w:tc>
          <w:tcPr>
            <w:tcW w:type="dxa" w:w="2616"/>
          </w:tcPr>
          <w:p>
            <w:r>
              <w:t>Fairhallow Travel</w:t>
            </w:r>
          </w:p>
        </w:tc>
        <w:tc>
          <w:tcPr>
            <w:tcW w:type="dxa" w:w="2616"/>
          </w:tcPr>
          <w:p>
            <w:r>
              <w:t>Jan 2026</w:t>
            </w:r>
          </w:p>
        </w:tc>
        <w:tc>
          <w:tcPr>
            <w:tcW w:type="dxa" w:w="2616"/>
          </w:tcPr>
          <w:p>
            <w:pPr>
              <w:jc w:val="right"/>
            </w:pPr>
            <w:r>
              <w:rPr>
                <w:rFonts w:ascii="Consolas" w:hAnsi="Consolas"/>
              </w:rPr>
              <w:t>£39,600</w:t>
            </w:r>
          </w:p>
        </w:tc>
        <w:tc>
          <w:tcPr>
            <w:tcW w:type="dxa" w:w="2616"/>
          </w:tcPr>
          <w:p>
            <w:r>
              <w:t>acquired, moved to the buyer's tool</w:t>
            </w:r>
          </w:p>
        </w:tc>
      </w:tr>
      <w:tr>
        <w:tc>
          <w:tcPr>
            <w:tcW w:type="dxa" w:w="2616"/>
          </w:tcPr>
          <w:p>
            <w:r>
              <w:t>Skovdal Software</w:t>
            </w:r>
          </w:p>
        </w:tc>
        <w:tc>
          <w:tcPr>
            <w:tcW w:type="dxa" w:w="2616"/>
          </w:tcPr>
          <w:p>
            <w:r>
              <w:t>Feb 2026</w:t>
            </w:r>
          </w:p>
        </w:tc>
        <w:tc>
          <w:tcPr>
            <w:tcW w:type="dxa" w:w="2616"/>
          </w:tcPr>
          <w:p>
            <w:pPr>
              <w:jc w:val="right"/>
            </w:pPr>
            <w:r>
              <w:rPr>
                <w:rFonts w:ascii="Consolas" w:hAnsi="Consolas"/>
              </w:rPr>
              <w:t>£17,550</w:t>
            </w:r>
          </w:p>
        </w:tc>
        <w:tc>
          <w:tcPr>
            <w:tcW w:type="dxa" w:w="2616"/>
          </w:tcPr>
          <w:p>
            <w:r>
              <w:t>budget</w:t>
            </w:r>
          </w:p>
        </w:tc>
      </w:tr>
      <w:tr>
        <w:tc>
          <w:tcPr>
            <w:tcW w:type="dxa" w:w="2616"/>
          </w:tcPr>
          <w:p>
            <w:r>
              <w:t>Kelvinhaugh Pension Services</w:t>
            </w:r>
          </w:p>
        </w:tc>
        <w:tc>
          <w:tcPr>
            <w:tcW w:type="dxa" w:w="2616"/>
          </w:tcPr>
          <w:p>
            <w:r>
              <w:t>Feb 2026</w:t>
            </w:r>
          </w:p>
        </w:tc>
        <w:tc>
          <w:tcPr>
            <w:tcW w:type="dxa" w:w="2616"/>
          </w:tcPr>
          <w:p>
            <w:pPr>
              <w:jc w:val="right"/>
            </w:pPr>
            <w:r>
              <w:rPr>
                <w:rFonts w:ascii="Consolas" w:hAnsi="Consolas"/>
              </w:rPr>
              <w:t>£44,000</w:t>
            </w:r>
          </w:p>
        </w:tc>
        <w:tc>
          <w:tcPr>
            <w:tcW w:type="dxa" w:w="2616"/>
          </w:tcPr>
          <w:p>
            <w:r>
              <w:t>budget</w:t>
            </w:r>
          </w:p>
        </w:tc>
      </w:tr>
      <w:tr>
        <w:tc>
          <w:tcPr>
            <w:tcW w:type="dxa" w:w="2616"/>
          </w:tcPr>
          <w:p>
            <w:r>
              <w:t>Tidecombe Housing</w:t>
            </w:r>
          </w:p>
        </w:tc>
        <w:tc>
          <w:tcPr>
            <w:tcW w:type="dxa" w:w="2616"/>
          </w:tcPr>
          <w:p>
            <w:r>
              <w:t>Mar 2026</w:t>
            </w:r>
          </w:p>
        </w:tc>
        <w:tc>
          <w:tcPr>
            <w:tcW w:type="dxa" w:w="2616"/>
          </w:tcPr>
          <w:p>
            <w:pPr>
              <w:jc w:val="right"/>
            </w:pPr>
            <w:r>
              <w:rPr>
                <w:rFonts w:ascii="Consolas" w:hAnsi="Consolas"/>
              </w:rPr>
              <w:t>£19,500</w:t>
            </w:r>
          </w:p>
        </w:tc>
        <w:tc>
          <w:tcPr>
            <w:tcW w:type="dxa" w:w="2616"/>
          </w:tcPr>
          <w:p>
            <w:r>
              <w:t>built it in-house</w:t>
            </w:r>
          </w:p>
        </w:tc>
      </w:tr>
      <w:tr>
        <w:tc>
          <w:tcPr>
            <w:tcW w:type="dxa" w:w="2616"/>
          </w:tcPr>
          <w:p>
            <w:r>
              <w:t>Lornefield Pensions Administration</w:t>
            </w:r>
          </w:p>
        </w:tc>
        <w:tc>
          <w:tcPr>
            <w:tcW w:type="dxa" w:w="2616"/>
          </w:tcPr>
          <w:p>
            <w:r>
              <w:t>Apr 2026</w:t>
            </w:r>
          </w:p>
        </w:tc>
        <w:tc>
          <w:tcPr>
            <w:tcW w:type="dxa" w:w="2616"/>
          </w:tcPr>
          <w:p>
            <w:pPr>
              <w:jc w:val="right"/>
            </w:pPr>
            <w:r>
              <w:rPr>
                <w:rFonts w:ascii="Consolas" w:hAnsi="Consolas"/>
              </w:rPr>
              <w:t>£44,000</w:t>
            </w:r>
          </w:p>
        </w:tc>
        <w:tc>
          <w:tcPr>
            <w:tcW w:type="dxa" w:w="2616"/>
          </w:tcPr>
          <w:p>
            <w:r>
              <w:t>acquired, moved to the buyer's tool</w:t>
            </w:r>
          </w:p>
        </w:tc>
      </w:tr>
      <w:tr>
        <w:tc>
          <w:tcPr>
            <w:tcW w:type="dxa" w:w="2616"/>
          </w:tcPr>
          <w:p>
            <w:r>
              <w:t>Delancey Haig</w:t>
            </w:r>
          </w:p>
        </w:tc>
        <w:tc>
          <w:tcPr>
            <w:tcW w:type="dxa" w:w="2616"/>
          </w:tcPr>
          <w:p>
            <w:r>
              <w:t>Jul 2026</w:t>
            </w:r>
          </w:p>
        </w:tc>
        <w:tc>
          <w:tcPr>
            <w:tcW w:type="dxa" w:w="2616"/>
          </w:tcPr>
          <w:p>
            <w:pPr>
              <w:jc w:val="right"/>
            </w:pPr>
            <w:r>
              <w:rPr>
                <w:rFonts w:ascii="Consolas" w:hAnsi="Consolas"/>
              </w:rPr>
              <w:t>£44,000</w:t>
            </w:r>
          </w:p>
        </w:tc>
        <w:tc>
          <w:tcPr>
            <w:tcW w:type="dxa" w:w="2616"/>
          </w:tcPr>
          <w:p>
            <w:r>
              <w:t>built it in-house</w:t>
            </w:r>
          </w:p>
        </w:tc>
      </w:tr>
      <w:tr>
        <w:tc>
          <w:tcPr>
            <w:tcW w:type="dxa" w:w="2616"/>
          </w:tcPr>
          <w:p>
            <w:r>
              <w:t>Penmaen Software</w:t>
            </w:r>
          </w:p>
        </w:tc>
        <w:tc>
          <w:tcPr>
            <w:tcW w:type="dxa" w:w="2616"/>
          </w:tcPr>
          <w:p>
            <w:r>
              <w:t>Jul 2026</w:t>
            </w:r>
          </w:p>
        </w:tc>
        <w:tc>
          <w:tcPr>
            <w:tcW w:type="dxa" w:w="2616"/>
          </w:tcPr>
          <w:p>
            <w:pPr>
              <w:jc w:val="right"/>
            </w:pPr>
            <w:r>
              <w:rPr>
                <w:rFonts w:ascii="Consolas" w:hAnsi="Consolas"/>
              </w:rPr>
              <w:t>£48,500</w:t>
            </w:r>
          </w:p>
        </w:tc>
        <w:tc>
          <w:tcPr>
            <w:tcW w:type="dxa" w:w="2616"/>
          </w:tcPr>
          <w:p>
            <w:r>
              <w:t>budget</w:t>
            </w:r>
          </w:p>
        </w:tc>
      </w:tr>
      <w:tr>
        <w:tc>
          <w:tcPr>
            <w:tcW w:type="dxa" w:w="2616"/>
          </w:tcPr>
          <w:p>
            <w:r>
              <w:t>Ashwell Mercer Interiors</w:t>
            </w:r>
          </w:p>
        </w:tc>
        <w:tc>
          <w:tcPr>
            <w:tcW w:type="dxa" w:w="2616"/>
          </w:tcPr>
          <w:p>
            <w:r>
              <w:t>Aug 2026</w:t>
            </w:r>
          </w:p>
        </w:tc>
        <w:tc>
          <w:tcPr>
            <w:tcW w:type="dxa" w:w="2616"/>
          </w:tcPr>
          <w:p>
            <w:pPr>
              <w:jc w:val="right"/>
            </w:pPr>
            <w:r>
              <w:rPr>
                <w:rFonts w:ascii="Consolas" w:hAnsi="Consolas"/>
              </w:rPr>
              <w:t>£44,000</w:t>
            </w:r>
          </w:p>
        </w:tc>
        <w:tc>
          <w:tcPr>
            <w:tcW w:type="dxa" w:w="2616"/>
          </w:tcPr>
          <w:p>
            <w:r>
              <w:t>insolvent</w:t>
            </w:r>
          </w:p>
        </w:tc>
      </w:tr>
      <w:tr>
        <w:tc>
          <w:tcPr>
            <w:tcW w:type="dxa" w:w="2616"/>
          </w:tcPr>
          <w:p>
            <w:r>
              <w:t>Calderbrook Housing Group</w:t>
            </w:r>
          </w:p>
        </w:tc>
        <w:tc>
          <w:tcPr>
            <w:tcW w:type="dxa" w:w="2616"/>
          </w:tcPr>
          <w:p>
            <w:r>
              <w:t>Sep 2026</w:t>
            </w:r>
          </w:p>
        </w:tc>
        <w:tc>
          <w:tcPr>
            <w:tcW w:type="dxa" w:w="2616"/>
          </w:tcPr>
          <w:p>
            <w:pPr>
              <w:jc w:val="right"/>
            </w:pPr>
            <w:r>
              <w:rPr>
                <w:rFonts w:ascii="Consolas" w:hAnsi="Consolas"/>
              </w:rPr>
              <w:t>£44,000</w:t>
            </w:r>
          </w:p>
        </w:tc>
        <w:tc>
          <w:tcPr>
            <w:tcW w:type="dxa" w:w="2616"/>
          </w:tcPr>
          <w:p>
            <w:r>
              <w:t>built it in-house</w:t>
            </w:r>
          </w:p>
        </w:tc>
      </w:tr>
    </w:tbl>
    <w:p>
      <w:pPr>
        <w:pStyle w:val="Source"/>
        <w:spacing w:after="200"/>
      </w:pPr>
      <w:r>
        <w:t>Source: B-Brain facts, as at Fri 9 Oct 2026; query chat.arr_moves, chat.deals</w:t>
      </w:r>
    </w:p>
    <w:p>
      <w:pPr>
        <w:pStyle w:val="Heading2"/>
      </w:pPr>
      <w:r>
        <w:t>Retention, month by month</w:t>
      </w:r>
    </w:p>
    <w:p>
      <w:pPr>
        <w:pStyle w:val="Body"/>
        <w:keepNext/>
      </w:pPr>
      <w:r>
        <w:drawing>
          <wp:inline xmlns:a="http://schemas.openxmlformats.org/drawingml/2006/main" xmlns:pic="http://schemas.openxmlformats.org/drawingml/2006/picture">
            <wp:extent cx="6645600" cy="186076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5971bba93d9-8ed82fb9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645600" cy="18607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Figurecaption"/>
      </w:pPr>
      <w:r>
        <w:t>Figure 2. Each point is the 12 months to that month end</w:t>
      </w:r>
    </w:p>
    <w:p>
      <w:pPr>
        <w:pStyle w:val="Source"/>
        <w:spacing w:after="200"/>
      </w:pPr>
      <w:r>
        <w:t>Source: B-Brain facts, as at Fri 9 Oct 2026; facts arr_bridge (period 12)</w:t>
      </w:r>
    </w:p>
    <w:p>
      <w:pPr>
        <w:pStyle w:val="Heading2"/>
      </w:pPr>
      <w:r>
        <w:t>Who looks like them now: renewals in 180 days with warning signals</w:t>
      </w:r>
    </w:p>
    <w:tbl>
      <w:tblPr>
        <w:tblStyle w:val="BBrainPlain"/>
        <w:tblW w:type="auto" w:w="0"/>
        <w:tblLook w:firstColumn="1" w:firstRow="1" w:lastColumn="0" w:lastRow="0" w:noHBand="1" w:noVBand="1" w:val="04A0"/>
      </w:tblPr>
      <w:tblGrid>
        <w:gridCol w:w="2093"/>
        <w:gridCol w:w="2093"/>
        <w:gridCol w:w="2093"/>
        <w:gridCol w:w="2093"/>
        <w:gridCol w:w="2093"/>
      </w:tblGrid>
      <w:tr>
        <w:trPr>
          <w:tblHeader/>
        </w:trPr>
        <w:tc>
          <w:tcPr>
            <w:tcW w:type="dxa" w:w="2093"/>
          </w:tcPr>
          <w:p>
            <w:pPr>
              <w:keepNext/>
            </w:pPr>
            <w:r>
              <w:rPr>
                <w:b/>
                <w:color w:val="1F2430"/>
              </w:rPr>
              <w:t>Organisation</w:t>
            </w:r>
          </w:p>
        </w:tc>
        <w:tc>
          <w:tcPr>
            <w:tcW w:type="dxa" w:w="2093"/>
          </w:tcPr>
          <w:p>
            <w:pPr>
              <w:keepNext/>
            </w:pPr>
            <w:r>
              <w:rPr>
                <w:b/>
                <w:color w:val="1F2430"/>
              </w:rPr>
              <w:t>Renews</w:t>
            </w:r>
          </w:p>
        </w:tc>
        <w:tc>
          <w:tcPr>
            <w:tcW w:type="dxa" w:w="2093"/>
          </w:tcPr>
          <w:p>
            <w:pPr>
              <w:keepNext/>
              <w:jc w:val="right"/>
            </w:pPr>
            <w:r>
              <w:rPr>
                <w:b/>
                <w:color w:val="1F2430"/>
              </w:rPr>
              <w:t>ARR today</w:t>
            </w:r>
          </w:p>
        </w:tc>
        <w:tc>
          <w:tcPr>
            <w:tcW w:type="dxa" w:w="2093"/>
          </w:tcPr>
          <w:p>
            <w:pPr>
              <w:keepNext/>
            </w:pPr>
            <w:r>
              <w:rPr>
                <w:b/>
                <w:color w:val="1F2430"/>
              </w:rPr>
              <w:t>Signals besides the price rise</w:t>
            </w:r>
          </w:p>
        </w:tc>
        <w:tc>
          <w:tcPr>
            <w:tcW w:type="dxa" w:w="2093"/>
          </w:tcPr>
          <w:p>
            <w:pPr>
              <w:keepNext/>
            </w:pPr>
            <w:r>
              <w:rPr>
                <w:b/>
                <w:color w:val="1F2430"/>
              </w:rPr>
              <w:t>B-Brain's read</w:t>
            </w:r>
          </w:p>
        </w:tc>
      </w:tr>
      <w:tr>
        <w:tc>
          <w:tcPr>
            <w:tcW w:type="dxa" w:w="2093"/>
          </w:tcPr>
          <w:p>
            <w:r>
              <w:t>Clonvara Insurance Services</w:t>
            </w:r>
          </w:p>
        </w:tc>
        <w:tc>
          <w:tcPr>
            <w:tcW w:type="dxa" w:w="2093"/>
          </w:tcPr>
          <w:p>
            <w:r>
              <w:t>Sun 1 Nov 2026</w:t>
            </w:r>
          </w:p>
        </w:tc>
        <w:tc>
          <w:tcPr>
            <w:tcW w:type="dxa" w:w="2093"/>
          </w:tcPr>
          <w:p>
            <w:pPr>
              <w:jc w:val="right"/>
            </w:pPr>
            <w:r>
              <w:rPr>
                <w:rFonts w:ascii="Consolas" w:hAnsi="Consolas"/>
              </w:rPr>
              <w:t>£46,800</w:t>
            </w:r>
          </w:p>
        </w:tc>
        <w:tc>
          <w:tcPr>
            <w:tcW w:type="dxa" w:w="2093"/>
          </w:tcPr>
          <w:p>
            <w:r>
              <w:t>champion left, one admin left</w:t>
            </w:r>
          </w:p>
        </w:tc>
        <w:tc>
          <w:tcPr>
            <w:tcW w:type="dxa" w:w="2093"/>
          </w:tcPr>
          <w:p>
            <w:r>
              <w:t>Clonvara Insurance Services at risk</w:t>
            </w:r>
          </w:p>
        </w:tc>
      </w:tr>
      <w:tr>
        <w:tc>
          <w:tcPr>
            <w:tcW w:type="dxa" w:w="2093"/>
          </w:tcPr>
          <w:p>
            <w:r>
              <w:t>Brackwell Freight Ltd</w:t>
            </w:r>
          </w:p>
        </w:tc>
        <w:tc>
          <w:tcPr>
            <w:tcW w:type="dxa" w:w="2093"/>
          </w:tcPr>
          <w:p>
            <w:r>
              <w:t>Tue 1 Dec 2026</w:t>
            </w:r>
          </w:p>
        </w:tc>
        <w:tc>
          <w:tcPr>
            <w:tcW w:type="dxa" w:w="2093"/>
          </w:tcPr>
          <w:p>
            <w:pPr>
              <w:jc w:val="right"/>
            </w:pPr>
            <w:r>
              <w:rPr>
                <w:rFonts w:ascii="Consolas" w:hAnsi="Consolas"/>
              </w:rPr>
              <w:t>£44,000</w:t>
            </w:r>
          </w:p>
        </w:tc>
        <w:tc>
          <w:tcPr>
            <w:tcW w:type="dxa" w:w="2093"/>
          </w:tcPr>
          <w:p>
            <w:r>
              <w:t>users down 30%+, champion left, one admin left, indexing flat, CRM duplicate</w:t>
            </w:r>
          </w:p>
        </w:tc>
        <w:tc>
          <w:tcPr>
            <w:tcW w:type="dxa" w:w="2093"/>
          </w:tcPr>
          <w:p>
            <w:r>
              <w:t>Brackwell Freight at risk</w:t>
            </w:r>
          </w:p>
        </w:tc>
      </w:tr>
      <w:tr>
        <w:tc>
          <w:tcPr>
            <w:tcW w:type="dxa" w:w="2093"/>
          </w:tcPr>
          <w:p>
            <w:r>
              <w:t>Dunholm Precision</w:t>
            </w:r>
          </w:p>
        </w:tc>
        <w:tc>
          <w:tcPr>
            <w:tcW w:type="dxa" w:w="2093"/>
          </w:tcPr>
          <w:p>
            <w:r>
              <w:t>Tue 1 Dec 2026</w:t>
            </w:r>
          </w:p>
        </w:tc>
        <w:tc>
          <w:tcPr>
            <w:tcW w:type="dxa" w:w="2093"/>
          </w:tcPr>
          <w:p>
            <w:pPr>
              <w:jc w:val="right"/>
            </w:pPr>
            <w:r>
              <w:rPr>
                <w:rFonts w:ascii="Consolas" w:hAnsi="Consolas"/>
              </w:rPr>
              <w:t>£51,000</w:t>
            </w:r>
          </w:p>
        </w:tc>
        <w:tc>
          <w:tcPr>
            <w:tcW w:type="dxa" w:w="2093"/>
          </w:tcPr>
          <w:p>
            <w:r>
              <w:t>champion left, one admin left, CRM duplicate</w:t>
            </w:r>
          </w:p>
        </w:tc>
        <w:tc>
          <w:tcPr>
            <w:tcW w:type="dxa" w:w="2093"/>
          </w:tcPr>
          <w:p>
            <w:r>
              <w:t>Dunholm Precision at risk</w:t>
            </w:r>
          </w:p>
        </w:tc>
      </w:tr>
      <w:tr>
        <w:tc>
          <w:tcPr>
            <w:tcW w:type="dxa" w:w="2093"/>
          </w:tcPr>
          <w:p>
            <w:r>
              <w:t>Carnmoor Fleet Leasing</w:t>
            </w:r>
          </w:p>
        </w:tc>
        <w:tc>
          <w:tcPr>
            <w:tcW w:type="dxa" w:w="2093"/>
          </w:tcPr>
          <w:p>
            <w:r>
              <w:t>Wed 2 Dec 2026</w:t>
            </w:r>
          </w:p>
        </w:tc>
        <w:tc>
          <w:tcPr>
            <w:tcW w:type="dxa" w:w="2093"/>
          </w:tcPr>
          <w:p>
            <w:pPr>
              <w:jc w:val="right"/>
            </w:pPr>
            <w:r>
              <w:rPr>
                <w:rFonts w:ascii="Consolas" w:hAnsi="Consolas"/>
              </w:rPr>
              <w:t>£41,800</w:t>
            </w:r>
          </w:p>
        </w:tc>
        <w:tc>
          <w:tcPr>
            <w:tcW w:type="dxa" w:w="2093"/>
          </w:tcPr>
          <w:p>
            <w:r>
              <w:t>users down 30%+, indexing flat</w:t>
            </w:r>
          </w:p>
        </w:tc>
        <w:tc>
          <w:tcPr>
            <w:tcW w:type="dxa" w:w="2093"/>
          </w:tcPr>
          <w:p>
            <w:r>
              <w:t>Carnmoor Fleet Leasing at risk</w:t>
            </w:r>
          </w:p>
        </w:tc>
      </w:tr>
      <w:tr>
        <w:tc>
          <w:tcPr>
            <w:tcW w:type="dxa" w:w="2093"/>
          </w:tcPr>
          <w:p>
            <w:r>
              <w:t>Hollins Tarrant</w:t>
            </w:r>
          </w:p>
        </w:tc>
        <w:tc>
          <w:tcPr>
            <w:tcW w:type="dxa" w:w="2093"/>
          </w:tcPr>
          <w:p>
            <w:r>
              <w:t>Mon 4 Jan 2027</w:t>
            </w:r>
          </w:p>
        </w:tc>
        <w:tc>
          <w:tcPr>
            <w:tcW w:type="dxa" w:w="2093"/>
          </w:tcPr>
          <w:p>
            <w:pPr>
              <w:jc w:val="right"/>
            </w:pPr>
            <w:r>
              <w:rPr>
                <w:rFonts w:ascii="Consolas" w:hAnsi="Consolas"/>
              </w:rPr>
              <w:t>£19,500</w:t>
            </w:r>
          </w:p>
        </w:tc>
        <w:tc>
          <w:tcPr>
            <w:tcW w:type="dxa" w:w="2093"/>
          </w:tcPr>
          <w:p>
            <w:r>
              <w:t>users down 30%+, indexing flat</w:t>
            </w:r>
          </w:p>
        </w:tc>
        <w:tc>
          <w:tcPr>
            <w:tcW w:type="dxa" w:w="2093"/>
          </w:tcPr>
          <w:p>
            <w:r>
              <w:t>Hollins Tarrant at risk</w:t>
            </w:r>
          </w:p>
        </w:tc>
      </w:tr>
      <w:tr>
        <w:tc>
          <w:tcPr>
            <w:tcW w:type="dxa" w:w="2093"/>
          </w:tcPr>
          <w:p>
            <w:r>
              <w:t>Veldmaat Payments</w:t>
            </w:r>
          </w:p>
        </w:tc>
        <w:tc>
          <w:tcPr>
            <w:tcW w:type="dxa" w:w="2093"/>
          </w:tcPr>
          <w:p>
            <w:r>
              <w:t>Tue 5 Jan 2027</w:t>
            </w:r>
          </w:p>
        </w:tc>
        <w:tc>
          <w:tcPr>
            <w:tcW w:type="dxa" w:w="2093"/>
          </w:tcPr>
          <w:p>
            <w:pPr>
              <w:jc w:val="right"/>
            </w:pPr>
            <w:r>
              <w:rPr>
                <w:rFonts w:ascii="Consolas" w:hAnsi="Consolas"/>
              </w:rPr>
              <w:t>£45,000</w:t>
            </w:r>
          </w:p>
        </w:tc>
        <w:tc>
          <w:tcPr>
            <w:tcW w:type="dxa" w:w="2093"/>
          </w:tcPr>
          <w:p>
            <w:r>
              <w:t>overdue invoice, disputed invoice</w:t>
            </w:r>
          </w:p>
        </w:tc>
        <w:tc>
          <w:tcPr>
            <w:tcW w:type="dxa" w:w="2093"/>
          </w:tcPr>
          <w:p>
            <w:r>
              <w:t>Veldmaat Payments at risk</w:t>
            </w:r>
          </w:p>
        </w:tc>
      </w:tr>
      <w:tr>
        <w:tc>
          <w:tcPr>
            <w:tcW w:type="dxa" w:w="2093"/>
          </w:tcPr>
          <w:p>
            <w:r>
              <w:t>Maelbeek Assurances</w:t>
            </w:r>
          </w:p>
        </w:tc>
        <w:tc>
          <w:tcPr>
            <w:tcW w:type="dxa" w:w="2093"/>
          </w:tcPr>
          <w:p>
            <w:r>
              <w:t>Mon 1 Feb 2027</w:t>
            </w:r>
          </w:p>
        </w:tc>
        <w:tc>
          <w:tcPr>
            <w:tcW w:type="dxa" w:w="2093"/>
          </w:tcPr>
          <w:p>
            <w:pPr>
              <w:jc w:val="right"/>
            </w:pPr>
            <w:r>
              <w:rPr>
                <w:rFonts w:ascii="Consolas" w:hAnsi="Consolas"/>
              </w:rPr>
              <w:t>£22,000</w:t>
            </w:r>
          </w:p>
        </w:tc>
        <w:tc>
          <w:tcPr>
            <w:tcW w:type="dxa" w:w="2093"/>
          </w:tcPr>
          <w:p>
            <w:r>
              <w:t>champion left</w:t>
            </w:r>
          </w:p>
        </w:tc>
        <w:tc>
          <w:tcPr>
            <w:tcW w:type="dxa" w:w="2093"/>
          </w:tcPr>
          <w:p>
            <w:r>
              <w:t>Maelbeek Assurances at risk</w:t>
            </w:r>
          </w:p>
        </w:tc>
      </w:tr>
      <w:tr>
        <w:tc>
          <w:tcPr>
            <w:tcW w:type="dxa" w:w="2093"/>
          </w:tcPr>
          <w:p>
            <w:r>
              <w:t>Thackwray Logistics</w:t>
            </w:r>
          </w:p>
        </w:tc>
        <w:tc>
          <w:tcPr>
            <w:tcW w:type="dxa" w:w="2093"/>
          </w:tcPr>
          <w:p>
            <w:r>
              <w:t>Sun 4 Apr 2027</w:t>
            </w:r>
          </w:p>
        </w:tc>
        <w:tc>
          <w:tcPr>
            <w:tcW w:type="dxa" w:w="2093"/>
          </w:tcPr>
          <w:p>
            <w:pPr>
              <w:jc w:val="right"/>
            </w:pPr>
            <w:r>
              <w:rPr>
                <w:rFonts w:ascii="Consolas" w:hAnsi="Consolas"/>
              </w:rPr>
              <w:t>£110,000</w:t>
            </w:r>
          </w:p>
        </w:tc>
        <w:tc>
          <w:tcPr>
            <w:tcW w:type="dxa" w:w="2093"/>
          </w:tcPr>
          <w:p>
            <w:r>
              <w:t>champion left</w:t>
            </w:r>
          </w:p>
        </w:tc>
        <w:tc>
          <w:tcPr>
            <w:tcW w:type="dxa" w:w="2093"/>
          </w:tcPr>
          <w:p>
            <w:r>
              <w:t>Thackwray Logistics on Watch</w:t>
            </w:r>
          </w:p>
        </w:tc>
      </w:tr>
    </w:tbl>
    <w:p>
      <w:pPr>
        <w:pStyle w:val="Source"/>
        <w:spacing w:after="200"/>
      </w:pPr>
      <w:r>
        <w:t>Source: B-Brain facts, as at Fri 9 Oct 2026; facts renewals_due (180 days); get_document assessment:&lt;org&gt;</w:t>
      </w:r>
    </w:p>
    <w:p>
      <w:pPr>
        <w:pStyle w:val="Heading1"/>
      </w:pPr>
      <w:r>
        <w:t>Actions</w:t>
      </w:r>
    </w:p>
    <w:p>
      <w:pPr>
        <w:pStyle w:val="ListNumber"/>
      </w:pPr>
      <w:r>
        <w:t>Clonvara Insurance Services: Lewis Kerr sends Brendan Moran and Gráinne Lynch an itemised Growth renewal quote with seat options sized to use, VAT on every line, reconciling the £55,000 deal with the executed order form.</w:t>
      </w:r>
    </w:p>
    <w:p>
      <w:pPr>
        <w:pStyle w:val="ListNumber"/>
      </w:pPr>
      <w:r>
        <w:t>Brackwell Freight Ltd: Tom Ashdown sends Gareth Whitlam a written line-by-line breakdown of the £50,000 renewal, with options at the size Brackwell actually uses, before the 12 Oct 2026 renewal call.</w:t>
      </w:r>
    </w:p>
    <w:p>
      <w:pPr>
        <w:pStyle w:val="ListNumber"/>
      </w:pPr>
      <w:r>
        <w:t>Dunholm Precision: Tom Ashdown replaces the unsigned £58,000 renewal proposal with a Growth renewal at the computed £50,000 price and sends it to Stuart Kenyon and Karen Midgley before the 27 Oct 2026 QBR.</w:t>
      </w:r>
    </w:p>
    <w:p>
      <w:pPr>
        <w:pStyle w:val="ListNumber"/>
      </w:pPr>
      <w:r>
        <w:t>Carnmoor Fleet Leasing: Amara Obi agrees with Kofi Asamoah which four connectors stay on Starter and confirms they are loading, ahead of the 26 Oct 2026 QBR.</w:t>
      </w:r>
    </w:p>
    <w:p>
      <w:pPr>
        <w:pStyle w:val="ListNumber"/>
      </w:pPr>
      <w:r>
        <w:t>Hollins Tarrant: Marcus Bell resolves the pending CRM connector failure, repoints the connectors at Salesforce and sends Rob Ellery a one-page value case before the 19 Oct 2026 renewal call.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20" w:right="720" w:bottom="720" w:left="720" w:header="255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altName w:val="Arial"/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onsolas">
    <w:altName w:val="Courier New"/>
    <w:family w:val="modern"/>
    <w:pitch w:val="fixed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ource"/>
      <w:tabs>
        <w:tab w:pos="10466" w:val="right"/>
      </w:tabs>
    </w:pPr>
    <w:r>
      <w:t>Source: B-Brain facts, as at Fri 9 Oct 2026</w:t>
      <w:tab/>
      <w:t xml:space="preserve">Page </w:t>
    </w:r>
    <w:fldSimple w:instr=" PAGE 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 xmlns:a="http://schemas.openxmlformats.org/drawingml/2006/main">
      <w:drawing>
        <wp:inline distT="0" distB="0" distL="0" distR="0">
          <wp:extent cx="120000" cy="216000"/>
          <wp:effectExtent l="0" t="0" r="0" b="0"/>
          <wp:docPr id="9001" name="B-Brain symbol left"/>
          <wp:cNvGraphicFramePr/>
          <a:graphic>
            <a:graphicData uri="http://schemas.microsoft.com/office/word/2010/wordprocessingShape">
              <wps:wsp>
                <wps:cNvSpPr/>
                <wps:spPr>
                  <a:xfrm>
                    <a:off x="0" y="0"/>
                    <a:ext cx="120000" cy="216000"/>
                  </a:xfrm>
                  <a:custGeom>
                    <a:avLst/>
                    <a:gdLst/>
                    <a:ahLst/>
                    <a:cxnLst/>
                    <a:rect l="0" t="0" r="r" b="b"/>
                    <a:pathLst>
                      <a:path w="40000" h="72000">
                        <a:moveTo>
                          <a:pt x="36000" y="0"/>
                        </a:moveTo>
                        <a:arcTo wR="36000" hR="36000" stAng="16200000" swAng="-10800000"/>
                        <a:close/>
                      </a:path>
                    </a:pathLst>
                  </a:custGeom>
                  <a:solidFill>
                    <a:srgbClr val="1F2430"/>
                  </a:solidFill>
                  <a:ln>
                    <a:noFill/>
                  </a:ln>
                </wps:spPr>
                <wps:bodyPr/>
              </wps:wsp>
            </a:graphicData>
          </a:graphic>
        </wp:inline>
      </w:drawing>
    </w:r>
    <w:r xmlns:a="http://schemas.openxmlformats.org/drawingml/2006/main">
      <w:drawing>
        <wp:inline distT="0" distB="0" distL="0" distR="0">
          <wp:extent cx="192000" cy="216000"/>
          <wp:effectExtent l="0" t="0" r="0" b="0"/>
          <wp:docPr id="9002" name="B-Brain symbol right"/>
          <wp:cNvGraphicFramePr/>
          <a:graphic>
            <a:graphicData uri="http://schemas.microsoft.com/office/word/2010/wordprocessingShape">
              <wps:wsp>
                <wps:cNvSpPr/>
                <wps:spPr>
                  <a:xfrm>
                    <a:off x="0" y="0"/>
                    <a:ext cx="192000" cy="216000"/>
                  </a:xfrm>
                  <a:custGeom>
                    <a:avLst/>
                    <a:gdLst/>
                    <a:ahLst/>
                    <a:cxnLst/>
                    <a:rect l="0" t="0" r="r" b="b"/>
                    <a:pathLst>
                      <a:path w="64000" h="72000">
                        <a:moveTo>
                          <a:pt x="4000" y="0"/>
                        </a:moveTo>
                        <a:arcTo wR="36000" hR="36000" stAng="16200000" swAng="10800000"/>
                        <a:close/>
                      </a:path>
                    </a:pathLst>
                  </a:custGeom>
                  <a:solidFill>
                    <a:srgbClr val="E3A6A8"/>
                  </a:solidFill>
                  <a:ln>
                    <a:noFill/>
                  </a:ln>
                </wps:spPr>
                <wps:bodyPr/>
              </wps:wsp>
            </a:graphicData>
          </a:graphic>
        </wp:inline>
      </w:drawing>
    </w:r>
    <w:r>
      <w:rPr>
        <w:rFonts w:ascii="Calibri" w:hAnsi="Calibri" w:cs="Calibri" w:eastAsia="Calibri"/>
        <w:b/>
        <w:color w:val="1F2430"/>
        <w:spacing w:val="-9"/>
        <w:position w:val="6"/>
        <w:sz w:val="29"/>
        <w:szCs w:val="29"/>
      </w:rPr>
      <w:t>B-Brain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88" w:lineRule="auto"/>
    </w:pPr>
    <w:rPr>
      <w:rFonts w:ascii="Calibri" w:hAnsi="Calibri" w:cs="Calibri" w:eastAsia="Calibri"/>
      <w:b w:val="0"/>
      <w:color w:val="1F243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20"/>
      <w:outlineLvl w:val="0"/>
    </w:pPr>
    <w:rPr>
      <w:rFonts w:ascii="Calibri" w:hAnsi="Calibri" w:cs="Calibri" w:eastAsia="Calibri"/>
      <w:b/>
      <w:bCs/>
      <w:color w:val="1F2430"/>
      <w:spacing w:val="-8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="Calibri" w:hAnsi="Calibri" w:cs="Calibri" w:eastAsia="Calibri"/>
      <w:b/>
      <w:bCs/>
      <w:color w:val="1F2430"/>
      <w:spacing w:val="-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60"/>
      <w:outlineLvl w:val="2"/>
    </w:pPr>
    <w:rPr>
      <w:rFonts w:ascii="Calibri" w:hAnsi="Calibri" w:cs="Calibri" w:eastAsia="Calibri"/>
      <w:b/>
      <w:bCs/>
      <w:color w:val="1F2430"/>
      <w:spacing w:val="-4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 w:before="0"/>
      <w:contextualSpacing/>
    </w:pPr>
    <w:rPr>
      <w:rFonts w:ascii="Calibri" w:hAnsi="Calibri" w:cs="Calibri" w:eastAsia="Calibri"/>
      <w:b/>
      <w:color w:val="1F2430"/>
      <w:spacing w:val="-17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80"/>
    </w:pPr>
    <w:rPr>
      <w:rFonts w:ascii="Calibri" w:hAnsi="Calibri" w:cs="Calibri" w:eastAsia="Calibri"/>
      <w:b w:val="0"/>
      <w:color w:val="5A5F6B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qFormat/>
    <w:rsid w:val="00326F90"/>
    <w:pPr>
      <w:numPr>
        <w:numId w:val="1"/>
      </w:numPr>
      <w:spacing w:before="0" w:after="60" w:line="288" w:lineRule="auto"/>
      <w:contextualSpacing/>
    </w:pPr>
    <w:rPr>
      <w:rFonts w:ascii="Calibri" w:hAnsi="Calibri" w:cs="Calibri" w:eastAsia="Calibri"/>
      <w:b w:val="0"/>
      <w:color w:val="1F2430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qFormat/>
    <w:rsid w:val="00326F90"/>
    <w:pPr>
      <w:numPr>
        <w:numId w:val="5"/>
      </w:numPr>
      <w:spacing w:before="0" w:after="60" w:line="288" w:lineRule="auto"/>
      <w:contextualSpacing/>
    </w:pPr>
    <w:rPr>
      <w:rFonts w:ascii="Calibri" w:hAnsi="Calibri" w:cs="Calibri" w:eastAsia="Calibri"/>
      <w:b w:val="0"/>
      <w:color w:val="1F2430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Body">
    <w:name w:val="Body"/>
    <w:basedOn w:val="Normal"/>
    <w:qFormat/>
    <w:pPr>
      <w:spacing w:before="0" w:after="120" w:line="288" w:lineRule="auto"/>
    </w:pPr>
    <w:rPr>
      <w:rFonts w:ascii="Calibri" w:hAnsi="Calibri" w:cs="Calibri" w:eastAsia="Calibri"/>
      <w:b w:val="0"/>
      <w:color w:val="1F2430"/>
      <w:sz w:val="21"/>
    </w:rPr>
  </w:style>
  <w:style w:type="paragraph" w:customStyle="1" w:styleId="Figurecaption">
    <w:name w:val="Figure caption"/>
    <w:basedOn w:val="Normal"/>
    <w:qFormat/>
    <w:pPr>
      <w:spacing w:before="80" w:after="240"/>
    </w:pPr>
    <w:rPr>
      <w:rFonts w:ascii="Calibri" w:hAnsi="Calibri" w:cs="Calibri" w:eastAsia="Calibri"/>
      <w:b w:val="0"/>
      <w:color w:val="5A5F6B"/>
      <w:sz w:val="18"/>
    </w:rPr>
  </w:style>
  <w:style w:type="paragraph" w:customStyle="1" w:styleId="KPIfigure">
    <w:name w:val="KPI figure"/>
    <w:basedOn w:val="Normal"/>
    <w:qFormat/>
    <w:pPr>
      <w:spacing w:before="0" w:after="0" w:line="240" w:lineRule="auto"/>
    </w:pPr>
    <w:rPr>
      <w:rFonts w:ascii="Consolas" w:hAnsi="Consolas" w:cs="Consolas" w:eastAsia="Consolas"/>
      <w:b/>
      <w:color w:val="1F2430"/>
      <w:sz w:val="36"/>
    </w:rPr>
  </w:style>
  <w:style w:type="paragraph" w:customStyle="1" w:styleId="KPIlabel">
    <w:name w:val="KPI label"/>
    <w:basedOn w:val="Normal"/>
    <w:qFormat/>
    <w:pPr>
      <w:spacing w:before="40" w:after="0" w:line="240" w:lineRule="auto"/>
    </w:pPr>
    <w:rPr>
      <w:rFonts w:ascii="Calibri" w:hAnsi="Calibri" w:cs="Calibri" w:eastAsia="Calibri"/>
      <w:b/>
      <w:color w:val="1F2430"/>
      <w:sz w:val="19"/>
    </w:rPr>
  </w:style>
  <w:style w:type="paragraph" w:customStyle="1" w:styleId="KPInote">
    <w:name w:val="KPI note"/>
    <w:basedOn w:val="Normal"/>
    <w:qFormat/>
    <w:pPr>
      <w:spacing w:before="20" w:after="0" w:line="240" w:lineRule="auto"/>
    </w:pPr>
    <w:rPr>
      <w:rFonts w:ascii="Calibri" w:hAnsi="Calibri" w:cs="Calibri" w:eastAsia="Calibri"/>
      <w:b w:val="0"/>
      <w:color w:val="5A5F6B"/>
      <w:sz w:val="17"/>
    </w:rPr>
  </w:style>
  <w:style w:type="paragraph" w:customStyle="1" w:styleId="Source">
    <w:name w:val="Source"/>
    <w:basedOn w:val="Normal"/>
    <w:qFormat/>
    <w:pPr>
      <w:spacing w:before="0" w:after="0"/>
    </w:pPr>
    <w:rPr>
      <w:rFonts w:ascii="Calibri" w:hAnsi="Calibri" w:cs="Calibri" w:eastAsia="Calibri"/>
      <w:b w:val="0"/>
      <w:color w:val="5A5F6B"/>
      <w:sz w:val="17"/>
    </w:rPr>
  </w:style>
  <w:style w:type="character" w:customStyle="1" w:styleId="Figure">
    <w:name w:val="Figure"/>
    <w:qFormat/>
    <w:rPr>
      <w:rFonts w:ascii="Consolas" w:hAnsi="Consolas" w:cs="Consolas" w:eastAsia="Consolas"/>
      <w:b w:val="0"/>
      <w:color w:val="1F2430"/>
      <w:sz w:val="20"/>
    </w:rPr>
  </w:style>
  <w:style w:type="table" w:customStyle="1" w:styleId="BBrainKPI">
    <w:name w:val="B-Brain KPI"/>
    <w:basedOn w:val="TableNormal"/>
    <w:uiPriority w:val="40"/>
    <w:qFormat/>
    <w:pPr>
      <w:spacing w:before="0" w:after="0"/>
    </w:pPr>
    <w:tblPr>
      <w:tblBorders>
        <w:top w:val="single" w:sz="18" w:space="0" w:color="E3A6A8"/>
        <w:insideV w:val="single" w:sz="48" w:space="0" w:color="FFFFFF"/>
      </w:tblBorders>
      <w:tblCellMar>
        <w:top w:w="120" w:type="dxa"/>
        <w:left w:w="140" w:type="dxa"/>
        <w:bottom w:w="120" w:type="dxa"/>
        <w:right w:w="140" w:type="dxa"/>
      </w:tblCellMar>
    </w:tblPr>
    <w:tcPr>
      <w:shd w:val="clear" w:color="auto" w:fill="F7F5F3"/>
    </w:tcPr>
  </w:style>
  <w:style w:type="table" w:customStyle="1" w:styleId="BBrainPlain">
    <w:name w:val="B-Brain plain"/>
    <w:basedOn w:val="TableNormal"/>
    <w:uiPriority w:val="41"/>
    <w:qFormat/>
    <w:pPr>
      <w:spacing w:before="0" w:after="0"/>
    </w:pPr>
    <w:rPr>
      <w:sz w:val="19"/>
    </w:rPr>
    <w:tblPr>
      <w:tblBorders>
        <w:top w:val="single" w:sz="4" w:space="0" w:color="E4DEDB"/>
        <w:bottom w:val="single" w:sz="4" w:space="0" w:color="E4DEDB"/>
        <w:insideH w:val="single" w:sz="4" w:space="0" w:color="E4DEDB"/>
      </w:tblBorders>
      <w:tblCellMar>
        <w:top w:w="30" w:type="dxa"/>
        <w:left w:w="140" w:type="dxa"/>
        <w:bottom w:w="30" w:type="dxa"/>
        <w:right w:w="140" w:type="dxa"/>
      </w:tblCellMar>
    </w:tblPr>
    <w:tcPr>
      <w:shd w:val="clear" w:color="auto" w:fill="FFFFFF"/>
    </w:tcPr>
    <w:tblStylePr w:type="firstRow">
      <w:rPr>
        <w:b/>
        <w:color w:val="1F2430"/>
      </w:rPr>
      <w:tcPr>
        <w:tcBorders>
          <w:bottom w:val="single" w:sz="12" w:space="0" w:color="1F2430"/>
        </w:tcBorders>
        <w:shd w:val="clear" w:color="auto" w:fill="F7F5F3"/>
      </w:tcPr>
    </w:tblStylePr>
    <w:tblStylePr w:type="lastRow">
      <w:rPr>
        <w:b/>
      </w:rPr>
      <w:tcPr>
        <w:tcBorders>
          <w:top w:val="single" w:sz="12" w:space="0" w:color="1F2430"/>
        </w:tcBorders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B-Brain">
  <a:themeElements>
    <a:clrScheme name="B-Brain light">
      <a:dk1>
        <a:srgbClr val="1F2430"/>
      </a:dk1>
      <a:lt1>
        <a:srgbClr val="F7F5F3"/>
      </a:lt1>
      <a:dk2>
        <a:srgbClr val="3A4150"/>
      </a:dk2>
      <a:lt2>
        <a:srgbClr val="FFFFFF"/>
      </a:lt2>
      <a:accent1>
        <a:srgbClr val="1F2430"/>
      </a:accent1>
      <a:accent2>
        <a:srgbClr val="D27073"/>
      </a:accent2>
      <a:accent3>
        <a:srgbClr val="5B6B9E"/>
      </a:accent3>
      <a:accent4>
        <a:srgbClr val="9E4A50"/>
      </a:accent4>
      <a:accent5>
        <a:srgbClr val="6E9584"/>
      </a:accent5>
      <a:accent6>
        <a:srgbClr val="B18741"/>
      </a:accent6>
      <a:hlink>
        <a:srgbClr val="9E4A50"/>
      </a:hlink>
      <a:folHlink>
        <a:srgbClr val="5A5F6B"/>
      </a:folHlink>
    </a:clrScheme>
    <a:fontScheme name="B-Brain">
      <a:majorFont>
        <a:latin typeface="Calibri" pitchFamily="34" charset="0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itchFamily="34" charset="0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-Brain flat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custClrLst>
    <a:custClr name="paper">
      <a:srgbClr val="F7F5F3"/>
    </a:custClr>
    <a:custClr name="surface">
      <a:srgbClr val="FFFFFF"/>
    </a:custClr>
    <a:custClr name="ink">
      <a:srgbClr val="1F2430"/>
    </a:custClr>
    <a:custClr name="text-muted">
      <a:srgbClr val="5A5F6B"/>
    </a:custClr>
    <a:custClr name="border">
      <a:srgbClr val="E4DEDB"/>
    </a:custClr>
    <a:custClr name="slate">
      <a:srgbClr val="3A4150"/>
    </a:custClr>
    <a:custClr name="brain-pink">
      <a:srgbClr val="E3A6A8"/>
    </a:custClr>
    <a:custClr name="pink-text">
      <a:srgbClr val="9E4A50"/>
    </a:custClr>
    <a:custClr name="brand-ink">
      <a:srgbClr val="1F2430"/>
    </a:custClr>
    <a:custClr name="brand-paper">
      <a:srgbClr val="F7F5F3"/>
    </a:custClr>
    <a:custClr name="good">
      <a:srgbClr val="008226"/>
    </a:custClr>
    <a:custClr name="watch">
      <a:srgbClr val="8A5A00"/>
    </a:custClr>
    <a:custClr name="bad">
      <a:srgbClr val="B8430B"/>
    </a:custClr>
    <a:custClr name="chart-1">
      <a:srgbClr val="1F2430"/>
    </a:custClr>
    <a:custClr name="chart-2">
      <a:srgbClr val="D27073"/>
    </a:custClr>
    <a:custClr name="chart-3">
      <a:srgbClr val="5B6B9E"/>
    </a:custClr>
    <a:custClr name="chart-4">
      <a:srgbClr val="9E4A50"/>
    </a:custClr>
    <a:custClr name="chart-5">
      <a:srgbClr val="6E9584"/>
    </a:custClr>
    <a:custClr name="chart-6">
      <a:srgbClr val="B18741"/>
    </a:custClr>
  </a:custClr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Retention: why customers left, and who looks like them now</dc:title>
  <dc:subject>B-Brain brand kit</dc:subject>
  <dc:creator>B-Brain</dc:creator>
  <cp:keywords/>
  <dc:description>generated by python-docx</dc:description>
  <cp:lastModifiedBy>B-Brain</cp:lastModifiedBy>
  <cp:revision>1</cp:revision>
  <dcterms:created xsi:type="dcterms:W3CDTF">2026-10-09T09:00:00Z</dcterms:created>
  <dcterms:modified xsi:type="dcterms:W3CDTF">2026-10-14T19:08:48Z</dcterms:modified>
  <cp:category/>
</cp:coreProperties>
</file>