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CRM against invoiced: the reconciliation</w:t>
      </w:r>
    </w:p>
    <w:p>
      <w:pPr>
        <w:pStyle w:val="Subtitle"/>
      </w:pPr>
      <w:r>
        <w:t>Contracted, invoiced and CRM ARR on Fri 9 Oct 2026</w:t>
      </w:r>
    </w:p>
    <w:p>
      <w:pPr>
        <w:pStyle w:val="Heading2"/>
      </w:pPr>
      <w:r>
        <w:t>Three ARR figures that should agree</w:t>
      </w:r>
    </w:p>
    <w:p>
      <w:pPr>
        <w:pStyle w:val="Body"/>
      </w:pPr>
      <w:r>
        <w:t>The CRM carries £388,860 more than BB-Demo invoices, across 25 organisations.</w:t>
      </w:r>
    </w:p>
    <w:tbl>
      <w:tblPr>
        <w:tblStyle w:val="BBrainKPI"/>
        <w:tblW w:type="auto" w:w="0"/>
        <w:tblLook w:firstColumn="1" w:firstRow="1" w:lastColumn="0" w:lastRow="0" w:noHBand="0" w:noVBand="1" w:val="04A0"/>
      </w:tblPr>
      <w:tblGrid>
        <w:gridCol w:w="2616"/>
        <w:gridCol w:w="2616"/>
        <w:gridCol w:w="2616"/>
        <w:gridCol w:w="2616"/>
      </w:tblGrid>
      <w:tr>
        <w:tc>
          <w:tcPr>
            <w:tcW w:type="dxa" w:w="2616"/>
          </w:tcPr>
          <w:p>
            <w:pPr>
              <w:pStyle w:val="KPIfigure"/>
            </w:pPr>
            <w:r>
              <w:t>£3,851,225</w:t>
            </w:r>
          </w:p>
          <w:p>
            <w:pPr>
              <w:pStyle w:val="KPIlabel"/>
            </w:pPr>
            <w:r>
              <w:t>CRM ARR</w:t>
            </w:r>
          </w:p>
          <w:p>
            <w:pPr>
              <w:pStyle w:val="KPInote"/>
            </w:pPr>
          </w:p>
        </w:tc>
        <w:tc>
          <w:tcPr>
            <w:tcW w:type="dxa" w:w="2616"/>
          </w:tcPr>
          <w:p>
            <w:pPr>
              <w:pStyle w:val="KPIfigure"/>
            </w:pPr>
            <w:r>
              <w:t>£3,462,365</w:t>
            </w:r>
          </w:p>
          <w:p>
            <w:pPr>
              <w:pStyle w:val="KPIlabel"/>
            </w:pPr>
            <w:r>
              <w:t>Invoiced run rate</w:t>
            </w:r>
          </w:p>
          <w:p>
            <w:pPr>
              <w:pStyle w:val="KPInote"/>
            </w:pPr>
          </w:p>
        </w:tc>
        <w:tc>
          <w:tcPr>
            <w:tcW w:type="dxa" w:w="2616"/>
          </w:tcPr>
          <w:p>
            <w:pPr>
              <w:pStyle w:val="KPIfigure"/>
            </w:pPr>
            <w:r>
              <w:t>£3,478,250</w:t>
            </w:r>
          </w:p>
          <w:p>
            <w:pPr>
              <w:pStyle w:val="KPIlabel"/>
            </w:pPr>
            <w:r>
              <w:t>Order-form ARR</w:t>
            </w:r>
          </w:p>
          <w:p>
            <w:pPr>
              <w:pStyle w:val="KPInote"/>
            </w:pPr>
            <w:r>
              <w:t>the contracted figure</w:t>
            </w:r>
          </w:p>
        </w:tc>
        <w:tc>
          <w:tcPr>
            <w:tcW w:type="dxa" w:w="2616"/>
          </w:tcPr>
          <w:p>
            <w:pPr>
              <w:pStyle w:val="KPIfigure"/>
            </w:pPr>
            <w:r>
              <w:t>£388,860</w:t>
            </w:r>
          </w:p>
          <w:p>
            <w:pPr>
              <w:pStyle w:val="KPIlabel"/>
            </w:pPr>
            <w:r>
              <w:t>CRM minus invoiced</w:t>
            </w:r>
          </w:p>
          <w:p>
            <w:pPr>
              <w:pStyle w:val="KPInote"/>
            </w:pPr>
          </w:p>
        </w:tc>
      </w:tr>
    </w:tbl>
    <w:p>
      <w:pPr>
        <w:pStyle w:val="Body"/>
        <w:spacing w:after="0"/>
      </w:pPr>
    </w:p>
    <w:p>
      <w:pPr>
        <w:pStyle w:val="Source"/>
        <w:spacing w:after="200"/>
      </w:pPr>
      <w:r>
        <w:t>Source: B-Brain facts, as at Fri 9 Oct 2026; facts reconciliation; query chat.reconciliation</w:t>
      </w:r>
    </w:p>
    <w:p>
      <w:pPr>
        <w:pStyle w:val="Heading2"/>
      </w:pPr>
      <w:r>
        <w:t>The difference by reason, adding up to £388,860</w:t>
      </w:r>
    </w:p>
    <w:tbl>
      <w:tblPr>
        <w:tblStyle w:val="BBrainPlain"/>
        <w:tblW w:type="auto" w:w="0"/>
        <w:tblLook w:firstColumn="1" w:firstRow="1" w:lastColumn="0" w:lastRow="0" w:noHBand="1" w:noVBand="1" w:val="04A0"/>
      </w:tblPr>
      <w:tblGrid>
        <w:gridCol w:w="3489"/>
        <w:gridCol w:w="3489"/>
        <w:gridCol w:w="3489"/>
      </w:tblGrid>
      <w:tr>
        <w:trPr>
          <w:tblHeader/>
        </w:trPr>
        <w:tc>
          <w:tcPr>
            <w:tcW w:type="dxa" w:w="3489"/>
          </w:tcPr>
          <w:p>
            <w:pPr>
              <w:keepNext/>
            </w:pPr>
            <w:r>
              <w:rPr>
                <w:b/>
                <w:color w:val="1F2430"/>
              </w:rPr>
              <w:t>Reason</w:t>
            </w:r>
          </w:p>
        </w:tc>
        <w:tc>
          <w:tcPr>
            <w:tcW w:type="dxa" w:w="3489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Organisations</w:t>
            </w:r>
          </w:p>
        </w:tc>
        <w:tc>
          <w:tcPr>
            <w:tcW w:type="dxa" w:w="3489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CRM minus invoiced</w:t>
            </w:r>
          </w:p>
        </w:tc>
      </w:tr>
      <w:tr>
        <w:tc>
          <w:tcPr>
            <w:tcW w:type="dxa" w:w="3489"/>
          </w:tcPr>
          <w:p>
            <w:r>
              <w:t>Left, still a CRM customer</w:t>
            </w:r>
          </w:p>
        </w:tc>
        <w:tc>
          <w:tcPr>
            <w:tcW w:type="dxa" w:w="3489"/>
          </w:tcPr>
          <w:p>
            <w:pPr>
              <w:jc w:val="right"/>
            </w:pPr>
            <w:r>
              <w:rPr>
                <w:rFonts w:ascii="Consolas" w:hAnsi="Consolas"/>
              </w:rPr>
              <w:t>5</w:t>
            </w:r>
          </w:p>
        </w:tc>
        <w:tc>
          <w:tcPr>
            <w:tcW w:type="dxa" w:w="3489"/>
          </w:tcPr>
          <w:p>
            <w:pPr>
              <w:jc w:val="right"/>
            </w:pPr>
            <w:r>
              <w:rPr>
                <w:rFonts w:ascii="Consolas" w:hAnsi="Consolas"/>
              </w:rPr>
              <w:t>£165,700</w:t>
            </w:r>
          </w:p>
        </w:tc>
      </w:tr>
      <w:tr>
        <w:tc>
          <w:tcPr>
            <w:tcW w:type="dxa" w:w="3489"/>
          </w:tcPr>
          <w:p>
            <w:r>
              <w:t>Duplicate CRM records</w:t>
            </w:r>
          </w:p>
        </w:tc>
        <w:tc>
          <w:tcPr>
            <w:tcW w:type="dxa" w:w="3489"/>
          </w:tcPr>
          <w:p>
            <w:pPr>
              <w:jc w:val="right"/>
            </w:pPr>
            <w:r>
              <w:rPr>
                <w:rFonts w:ascii="Consolas" w:hAnsi="Consolas"/>
              </w:rPr>
              <w:t>5</w:t>
            </w:r>
          </w:p>
        </w:tc>
        <w:tc>
          <w:tcPr>
            <w:tcW w:type="dxa" w:w="3489"/>
          </w:tcPr>
          <w:p>
            <w:pPr>
              <w:jc w:val="right"/>
            </w:pPr>
            <w:r>
              <w:rPr>
                <w:rFonts w:ascii="Consolas" w:hAnsi="Consolas"/>
              </w:rPr>
              <w:t>£130,825</w:t>
            </w:r>
          </w:p>
        </w:tc>
      </w:tr>
      <w:tr>
        <w:tc>
          <w:tcPr>
            <w:tcW w:type="dxa" w:w="3489"/>
          </w:tcPr>
          <w:p>
            <w:r>
              <w:t>CRM amount differs</w:t>
            </w:r>
          </w:p>
        </w:tc>
        <w:tc>
          <w:tcPr>
            <w:tcW w:type="dxa" w:w="3489"/>
          </w:tcPr>
          <w:p>
            <w:pPr>
              <w:jc w:val="right"/>
            </w:pPr>
            <w:r>
              <w:rPr>
                <w:rFonts w:ascii="Consolas" w:hAnsi="Consolas"/>
              </w:rPr>
              <w:t>7</w:t>
            </w:r>
          </w:p>
        </w:tc>
        <w:tc>
          <w:tcPr>
            <w:tcW w:type="dxa" w:w="3489"/>
          </w:tcPr>
          <w:p>
            <w:pPr>
              <w:jc w:val="right"/>
            </w:pPr>
            <w:r>
              <w:rPr>
                <w:rFonts w:ascii="Consolas" w:hAnsi="Consolas"/>
              </w:rPr>
              <w:t>£71,450</w:t>
            </w:r>
          </w:p>
        </w:tc>
      </w:tr>
      <w:tr>
        <w:tc>
          <w:tcPr>
            <w:tcW w:type="dxa" w:w="3489"/>
          </w:tcPr>
          <w:p>
            <w:r>
              <w:t>Invoicing differs</w:t>
            </w:r>
          </w:p>
        </w:tc>
        <w:tc>
          <w:tcPr>
            <w:tcW w:type="dxa" w:w="3489"/>
          </w:tcPr>
          <w:p>
            <w:pPr>
              <w:jc w:val="right"/>
            </w:pPr>
            <w:r>
              <w:rPr>
                <w:rFonts w:ascii="Consolas" w:hAnsi="Consolas"/>
              </w:rPr>
              <w:t>8</w:t>
            </w:r>
          </w:p>
        </w:tc>
        <w:tc>
          <w:tcPr>
            <w:tcW w:type="dxa" w:w="3489"/>
          </w:tcPr>
          <w:p>
            <w:pPr>
              <w:jc w:val="right"/>
            </w:pPr>
            <w:r>
              <w:rPr>
                <w:rFonts w:ascii="Consolas" w:hAnsi="Consolas"/>
              </w:rPr>
              <w:t>£20,885</w:t>
            </w:r>
          </w:p>
        </w:tc>
      </w:tr>
      <w:tr>
        <w:tc>
          <w:tcPr>
            <w:tcW w:type="dxa" w:w="3489"/>
          </w:tcPr>
          <w:p>
            <w:r>
              <w:t>Total</w:t>
            </w:r>
          </w:p>
        </w:tc>
        <w:tc>
          <w:tcPr>
            <w:tcW w:type="dxa" w:w="3489"/>
          </w:tcPr>
          <w:p>
            <w:pPr>
              <w:jc w:val="right"/>
            </w:pPr>
            <w:r>
              <w:rPr>
                <w:rFonts w:ascii="Consolas" w:hAnsi="Consolas"/>
              </w:rPr>
              <w:t>25</w:t>
            </w:r>
          </w:p>
        </w:tc>
        <w:tc>
          <w:tcPr>
            <w:tcW w:type="dxa" w:w="3489"/>
          </w:tcPr>
          <w:p>
            <w:pPr>
              <w:jc w:val="right"/>
            </w:pPr>
            <w:r>
              <w:rPr>
                <w:rFonts w:ascii="Consolas" w:hAnsi="Consolas"/>
              </w:rPr>
              <w:t>£388,860</w:t>
            </w:r>
          </w:p>
        </w:tc>
      </w:tr>
    </w:tbl>
    <w:p>
      <w:pPr>
        <w:pStyle w:val="Source"/>
        <w:spacing w:after="200"/>
      </w:pPr>
      <w:r>
        <w:t>Source: B-Brain facts, as at Fri 9 Oct 2026; query chat.reconciliation</w:t>
      </w:r>
    </w:p>
    <w:p>
      <w:pPr>
        <w:pStyle w:val="Heading2"/>
      </w:pPr>
      <w:r>
        <w:t>One line per organisation</w:t>
      </w:r>
    </w:p>
    <w:tbl>
      <w:tblPr>
        <w:tblStyle w:val="BBrainPlain"/>
        <w:tblW w:type="auto" w:w="0"/>
        <w:tblLook w:firstColumn="1" w:firstRow="1" w:lastColumn="0" w:lastRow="0" w:noHBand="1" w:noVBand="1" w:val="04A0"/>
      </w:tblPr>
      <w:tblGrid>
        <w:gridCol w:w="1744"/>
        <w:gridCol w:w="1744"/>
        <w:gridCol w:w="1744"/>
        <w:gridCol w:w="1744"/>
        <w:gridCol w:w="1744"/>
        <w:gridCol w:w="1744"/>
      </w:tblGrid>
      <w:tr>
        <w:trPr>
          <w:tblHeader/>
        </w:trPr>
        <w:tc>
          <w:tcPr>
            <w:tcW w:type="dxa" w:w="1744"/>
          </w:tcPr>
          <w:p>
            <w:pPr>
              <w:keepNext/>
            </w:pPr>
            <w:r>
              <w:rPr>
                <w:b/>
                <w:color w:val="1F2430"/>
              </w:rPr>
              <w:t>Organisation</w:t>
            </w:r>
          </w:p>
        </w:tc>
        <w:tc>
          <w:tcPr>
            <w:tcW w:type="dxa" w:w="1744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CRM ARR</w:t>
            </w:r>
          </w:p>
        </w:tc>
        <w:tc>
          <w:tcPr>
            <w:tcW w:type="dxa" w:w="1744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Invoiced</w:t>
            </w:r>
          </w:p>
        </w:tc>
        <w:tc>
          <w:tcPr>
            <w:tcW w:type="dxa" w:w="1744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Order form</w:t>
            </w:r>
          </w:p>
        </w:tc>
        <w:tc>
          <w:tcPr>
            <w:tcW w:type="dxa" w:w="1744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Difference</w:t>
            </w:r>
          </w:p>
        </w:tc>
        <w:tc>
          <w:tcPr>
            <w:tcW w:type="dxa" w:w="1744"/>
          </w:tcPr>
          <w:p>
            <w:pPr>
              <w:keepNext/>
            </w:pPr>
            <w:r>
              <w:rPr>
                <w:b/>
                <w:color w:val="1F2430"/>
              </w:rPr>
              <w:t>Reason</w:t>
            </w:r>
          </w:p>
        </w:tc>
      </w:tr>
      <w:tr>
        <w:tc>
          <w:tcPr>
            <w:tcW w:type="dxa" w:w="1744"/>
          </w:tcPr>
          <w:p>
            <w:r>
              <w:t>Brenneck Pay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£125,000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£50,000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£50,000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£75,000</w:t>
            </w:r>
          </w:p>
        </w:tc>
        <w:tc>
          <w:tcPr>
            <w:tcW w:type="dxa" w:w="1744"/>
          </w:tcPr>
          <w:p>
            <w:r>
              <w:t>CRM amount differs</w:t>
            </w:r>
          </w:p>
        </w:tc>
      </w:tr>
      <w:tr>
        <w:tc>
          <w:tcPr>
            <w:tcW w:type="dxa" w:w="1744"/>
          </w:tcPr>
          <w:p>
            <w:r>
              <w:t>Fulford Ings Software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£30,000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£10,500</w:t>
            </w:r>
          </w:p>
        </w:tc>
        <w:tc>
          <w:tcPr>
            <w:tcW w:type="dxa" w:w="1744"/>
          </w:tcPr>
          <w:p>
            <w:r>
              <w:t>CRM amount differs</w:t>
            </w:r>
          </w:p>
        </w:tc>
      </w:tr>
      <w:tr>
        <w:tc>
          <w:tcPr>
            <w:tcW w:type="dxa" w:w="1744"/>
          </w:tcPr>
          <w:p>
            <w:r>
              <w:t>Brakkevoort Logistics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£50,000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£6,000</w:t>
            </w:r>
          </w:p>
        </w:tc>
        <w:tc>
          <w:tcPr>
            <w:tcW w:type="dxa" w:w="1744"/>
          </w:tcPr>
          <w:p>
            <w:r>
              <w:t>CRM amount differs</w:t>
            </w:r>
          </w:p>
        </w:tc>
      </w:tr>
      <w:tr>
        <w:tc>
          <w:tcPr>
            <w:tcW w:type="dxa" w:w="1744"/>
          </w:tcPr>
          <w:p>
            <w:r>
              <w:t>Kenmure Business Telecom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£130,000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£125,000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£125,000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£5,000</w:t>
            </w:r>
          </w:p>
        </w:tc>
        <w:tc>
          <w:tcPr>
            <w:tcW w:type="dxa" w:w="1744"/>
          </w:tcPr>
          <w:p>
            <w:r>
              <w:t>CRM amount differs</w:t>
            </w:r>
          </w:p>
        </w:tc>
      </w:tr>
      <w:tr>
        <w:tc>
          <w:tcPr>
            <w:tcW w:type="dxa" w:w="1744"/>
          </w:tcPr>
          <w:p>
            <w:r>
              <w:t>Vellacott Payments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£130,000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£129,000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£129,000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£1,000</w:t>
            </w:r>
          </w:p>
        </w:tc>
        <w:tc>
          <w:tcPr>
            <w:tcW w:type="dxa" w:w="1744"/>
          </w:tcPr>
          <w:p>
            <w:r>
              <w:t>CRM amount differs</w:t>
            </w:r>
          </w:p>
        </w:tc>
      </w:tr>
      <w:tr>
        <w:tc>
          <w:tcPr>
            <w:tcW w:type="dxa" w:w="1744"/>
          </w:tcPr>
          <w:p>
            <w:r>
              <w:t>Fenmoor Specialty Underwriting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£118,750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£125,000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£125,000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-£6,250</w:t>
            </w:r>
          </w:p>
        </w:tc>
        <w:tc>
          <w:tcPr>
            <w:tcW w:type="dxa" w:w="1744"/>
          </w:tcPr>
          <w:p>
            <w:r>
              <w:t>CRM amount differs</w:t>
            </w:r>
          </w:p>
        </w:tc>
      </w:tr>
      <w:tr>
        <w:tc>
          <w:tcPr>
            <w:tcW w:type="dxa" w:w="1744"/>
          </w:tcPr>
          <w:p>
            <w:r>
              <w:t>Carnmoor Fleet Leasing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£22,000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£41,800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£41,800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-£19,800</w:t>
            </w:r>
          </w:p>
        </w:tc>
        <w:tc>
          <w:tcPr>
            <w:tcW w:type="dxa" w:w="1744"/>
          </w:tcPr>
          <w:p>
            <w:r>
              <w:t>CRM amount differs</w:t>
            </w:r>
          </w:p>
        </w:tc>
      </w:tr>
      <w:tr>
        <w:tc>
          <w:tcPr>
            <w:tcW w:type="dxa" w:w="1744"/>
          </w:tcPr>
          <w:p>
            <w:r>
              <w:t>Brackwell Freight Ltd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£88,000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1744"/>
          </w:tcPr>
          <w:p>
            <w:r>
              <w:t>Duplicate CRM records</w:t>
            </w:r>
          </w:p>
        </w:tc>
      </w:tr>
      <w:tr>
        <w:tc>
          <w:tcPr>
            <w:tcW w:type="dxa" w:w="1744"/>
          </w:tcPr>
          <w:p>
            <w:r>
              <w:t>Pelton Grange Care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£91,800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£50,000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£50,000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£41,800</w:t>
            </w:r>
          </w:p>
        </w:tc>
        <w:tc>
          <w:tcPr>
            <w:tcW w:type="dxa" w:w="1744"/>
          </w:tcPr>
          <w:p>
            <w:r>
              <w:t>Duplicate CRM records</w:t>
            </w:r>
          </w:p>
        </w:tc>
      </w:tr>
      <w:tr>
        <w:tc>
          <w:tcPr>
            <w:tcW w:type="dxa" w:w="1744"/>
          </w:tcPr>
          <w:p>
            <w:r>
              <w:t>Linthorpe Trade Supplies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£41,500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£22,000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£22,000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1744"/>
          </w:tcPr>
          <w:p>
            <w:r>
              <w:t>Duplicate CRM records</w:t>
            </w:r>
          </w:p>
        </w:tc>
      </w:tr>
      <w:tr>
        <w:tc>
          <w:tcPr>
            <w:tcW w:type="dxa" w:w="1744"/>
          </w:tcPr>
          <w:p>
            <w:r>
              <w:t>Clashmore Recruitment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£40,525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£22,000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£22,000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£18,525</w:t>
            </w:r>
          </w:p>
        </w:tc>
        <w:tc>
          <w:tcPr>
            <w:tcW w:type="dxa" w:w="1744"/>
          </w:tcPr>
          <w:p>
            <w:r>
              <w:t>Duplicate CRM records</w:t>
            </w:r>
          </w:p>
        </w:tc>
      </w:tr>
      <w:tr>
        <w:tc>
          <w:tcPr>
            <w:tcW w:type="dxa" w:w="1744"/>
          </w:tcPr>
          <w:p>
            <w:r>
              <w:t>Dunholm Precision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£58,000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£51,000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£51,000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£7,000</w:t>
            </w:r>
          </w:p>
        </w:tc>
        <w:tc>
          <w:tcPr>
            <w:tcW w:type="dxa" w:w="1744"/>
          </w:tcPr>
          <w:p>
            <w:r>
              <w:t>Duplicate CRM records</w:t>
            </w:r>
          </w:p>
        </w:tc>
      </w:tr>
      <w:tr>
        <w:tc>
          <w:tcPr>
            <w:tcW w:type="dxa" w:w="1744"/>
          </w:tcPr>
          <w:p>
            <w:r>
              <w:t>Merriott Lyle Distribution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£137,500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£132,048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£137,500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£5,452</w:t>
            </w:r>
          </w:p>
        </w:tc>
        <w:tc>
          <w:tcPr>
            <w:tcW w:type="dxa" w:w="1744"/>
          </w:tcPr>
          <w:p>
            <w:r>
              <w:t>Invoicing differs</w:t>
            </w:r>
          </w:p>
        </w:tc>
      </w:tr>
      <w:tr>
        <w:tc>
          <w:tcPr>
            <w:tcW w:type="dxa" w:w="1744"/>
          </w:tcPr>
          <w:p>
            <w:r>
              <w:t>Pemaquid Analytics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£58,000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£54,011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£58,000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£3,989</w:t>
            </w:r>
          </w:p>
        </w:tc>
        <w:tc>
          <w:tcPr>
            <w:tcW w:type="dxa" w:w="1744"/>
          </w:tcPr>
          <w:p>
            <w:r>
              <w:t>Invoicing differs</w:t>
            </w:r>
          </w:p>
        </w:tc>
      </w:tr>
      <w:tr>
        <w:tc>
          <w:tcPr>
            <w:tcW w:type="dxa" w:w="1744"/>
          </w:tcPr>
          <w:p>
            <w:r>
              <w:t>Harrowden Foods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£58,000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£54,405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£58,000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£3,595</w:t>
            </w:r>
          </w:p>
        </w:tc>
        <w:tc>
          <w:tcPr>
            <w:tcW w:type="dxa" w:w="1744"/>
          </w:tcPr>
          <w:p>
            <w:r>
              <w:t>Invoicing differs</w:t>
            </w:r>
          </w:p>
        </w:tc>
      </w:tr>
      <w:tr>
        <w:tc>
          <w:tcPr>
            <w:tcW w:type="dxa" w:w="1744"/>
          </w:tcPr>
          <w:p>
            <w:r>
              <w:t>Clonvara Insurance Services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£46,800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£44,636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£46,800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£2,164</w:t>
            </w:r>
          </w:p>
        </w:tc>
        <w:tc>
          <w:tcPr>
            <w:tcW w:type="dxa" w:w="1744"/>
          </w:tcPr>
          <w:p>
            <w:r>
              <w:t>Invoicing differs</w:t>
            </w:r>
          </w:p>
        </w:tc>
      </w:tr>
      <w:tr>
        <w:tc>
          <w:tcPr>
            <w:tcW w:type="dxa" w:w="1744"/>
          </w:tcPr>
          <w:p>
            <w:r>
              <w:t>Veenendrecht Payments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£52,500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£50,473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£52,500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£2,027</w:t>
            </w:r>
          </w:p>
        </w:tc>
        <w:tc>
          <w:tcPr>
            <w:tcW w:type="dxa" w:w="1744"/>
          </w:tcPr>
          <w:p>
            <w:r>
              <w:t>Invoicing differs</w:t>
            </w:r>
          </w:p>
        </w:tc>
      </w:tr>
      <w:tr>
        <w:tc>
          <w:tcPr>
            <w:tcW w:type="dxa" w:w="1744"/>
          </w:tcPr>
          <w:p>
            <w:r>
              <w:t>Brinkerhof Distributie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£48,000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£46,115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£48,000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£1,885</w:t>
            </w:r>
          </w:p>
        </w:tc>
        <w:tc>
          <w:tcPr>
            <w:tcW w:type="dxa" w:w="1744"/>
          </w:tcPr>
          <w:p>
            <w:r>
              <w:t>Invoicing differs</w:t>
            </w:r>
          </w:p>
        </w:tc>
      </w:tr>
      <w:tr>
        <w:tc>
          <w:tcPr>
            <w:tcW w:type="dxa" w:w="1744"/>
          </w:tcPr>
          <w:p>
            <w:r>
              <w:t>Harcastle Environmental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£52,000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£50,225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£52,000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£1,775</w:t>
            </w:r>
          </w:p>
        </w:tc>
        <w:tc>
          <w:tcPr>
            <w:tcW w:type="dxa" w:w="1744"/>
          </w:tcPr>
          <w:p>
            <w:r>
              <w:t>Invoicing differs</w:t>
            </w:r>
          </w:p>
        </w:tc>
      </w:tr>
      <w:tr>
        <w:tc>
          <w:tcPr>
            <w:tcW w:type="dxa" w:w="1744"/>
          </w:tcPr>
          <w:p>
            <w:r>
              <w:t>Penwortham Mutual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£118,750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£118,752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£118,750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-£2</w:t>
            </w:r>
          </w:p>
        </w:tc>
        <w:tc>
          <w:tcPr>
            <w:tcW w:type="dxa" w:w="1744"/>
          </w:tcPr>
          <w:p>
            <w:r>
              <w:t>Invoicing differs</w:t>
            </w:r>
          </w:p>
        </w:tc>
      </w:tr>
      <w:tr>
        <w:tc>
          <w:tcPr>
            <w:tcW w:type="dxa" w:w="1744"/>
          </w:tcPr>
          <w:p>
            <w:r>
              <w:t>Lornefield Pensions Administration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1744"/>
          </w:tcPr>
          <w:p>
            <w:r>
              <w:t>Left, still a CRM customer</w:t>
            </w:r>
          </w:p>
        </w:tc>
      </w:tr>
      <w:tr>
        <w:tc>
          <w:tcPr>
            <w:tcW w:type="dxa" w:w="1744"/>
          </w:tcPr>
          <w:p>
            <w:r>
              <w:t>Fairhallow Travel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£39,600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£39,600</w:t>
            </w:r>
          </w:p>
        </w:tc>
        <w:tc>
          <w:tcPr>
            <w:tcW w:type="dxa" w:w="1744"/>
          </w:tcPr>
          <w:p>
            <w:r>
              <w:t>Left, still a CRM customer</w:t>
            </w:r>
          </w:p>
        </w:tc>
      </w:tr>
      <w:tr>
        <w:tc>
          <w:tcPr>
            <w:tcW w:type="dxa" w:w="1744"/>
          </w:tcPr>
          <w:p>
            <w:r>
              <w:t>Saltdean Hart Insurance Brokers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£39,600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£39,600</w:t>
            </w:r>
          </w:p>
        </w:tc>
        <w:tc>
          <w:tcPr>
            <w:tcW w:type="dxa" w:w="1744"/>
          </w:tcPr>
          <w:p>
            <w:r>
              <w:t>Left, still a CRM customer</w:t>
            </w:r>
          </w:p>
        </w:tc>
      </w:tr>
      <w:tr>
        <w:tc>
          <w:tcPr>
            <w:tcW w:type="dxa" w:w="1744"/>
          </w:tcPr>
          <w:p>
            <w:r>
              <w:t>Ardenmore Pension Administration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£23,000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£23,000</w:t>
            </w:r>
          </w:p>
        </w:tc>
        <w:tc>
          <w:tcPr>
            <w:tcW w:type="dxa" w:w="1744"/>
          </w:tcPr>
          <w:p>
            <w:r>
              <w:t>Left, still a CRM customer</w:t>
            </w:r>
          </w:p>
        </w:tc>
      </w:tr>
      <w:tr>
        <w:tc>
          <w:tcPr>
            <w:tcW w:type="dxa" w:w="1744"/>
          </w:tcPr>
          <w:p>
            <w:r>
              <w:t>Stainmore Haulage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£0</w:t>
            </w:r>
          </w:p>
        </w:tc>
        <w:tc>
          <w:tcPr>
            <w:tcW w:type="dxa" w:w="1744"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1744"/>
          </w:tcPr>
          <w:p>
            <w:r>
              <w:t>Left, still a CRM customer</w:t>
            </w:r>
          </w:p>
        </w:tc>
      </w:tr>
    </w:tbl>
    <w:p>
      <w:pPr>
        <w:pStyle w:val="Source"/>
        <w:spacing w:after="200"/>
      </w:pPr>
      <w:r>
        <w:t>Source: B-Brain facts, as at Fri 9 Oct 2026; query chat.reconciliation</w:t>
      </w:r>
    </w:p>
    <w:p>
      <w:pPr>
        <w:pStyle w:val="Heading1"/>
      </w:pPr>
      <w:r>
        <w:t>Which figure to use</w:t>
      </w:r>
    </w:p>
    <w:p>
      <w:pPr>
        <w:pStyle w:val="ListBullet"/>
      </w:pPr>
      <w:r>
        <w:t>Contracted ARR is the order forms in force: £3,478,250. It is the ARR figure.</w:t>
      </w:r>
    </w:p>
    <w:p>
      <w:pPr>
        <w:pStyle w:val="ListBullet"/>
      </w:pPr>
      <w:r>
        <w:t>The invoiced run rate (£3,462,365) lags or leads it where invoices fall in a different period.</w:t>
      </w:r>
    </w:p>
    <w:p>
      <w:pPr>
        <w:pStyle w:val="ListBullet"/>
      </w:pPr>
      <w:r>
        <w:t>CRM ARR (£3,851,225) is what the sales team typed: fix the duplicates and the churned customers first.</w:t>
      </w:r>
    </w:p>
    <w:p>
      <w:pPr>
        <w:pStyle w:val="Heading1"/>
      </w:pPr>
      <w:r>
        <w:t>Next steps</w:t>
      </w:r>
    </w:p>
    <w:p>
      <w:pPr>
        <w:pStyle w:val="ListNumber"/>
      </w:pPr>
      <w:r>
        <w:t>Close the customers who left but are still customers in the CRM (5 organisations, £165,700)</w:t>
      </w:r>
    </w:p>
    <w:p>
      <w:pPr>
        <w:pStyle w:val="ListNumber"/>
      </w:pPr>
      <w:r>
        <w:t>Merge the duplicate CRM records (5 organisations, £130,825)</w:t>
      </w:r>
    </w:p>
    <w:p>
      <w:pPr>
        <w:pStyle w:val="ListNumber"/>
      </w:pPr>
      <w:r>
        <w:t>Set the CRM amounts to the signed order forms (7 organisations, £71,450)</w:t>
      </w:r>
    </w:p>
    <w:p>
      <w:pPr>
        <w:pStyle w:val="ListNumber"/>
      </w:pPr>
      <w:r>
        <w:t>Check the invoicing schedule against the order form (8 organisations, £20,885)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20" w:right="720" w:bottom="720" w:left="720" w:header="255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altName w:val="Arial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nsolas">
    <w:altName w:val="Courier New"/>
    <w:family w:val="modern"/>
    <w:pitch w:val="fixed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ource"/>
      <w:tabs>
        <w:tab w:pos="10466" w:val="right"/>
      </w:tabs>
    </w:pPr>
    <w:r>
      <w:t>Source: B-Brain facts, as at Fri 9 Oct 2026</w:t>
      <w:tab/>
      <w:t xml:space="preserve">Page </w:t>
    </w:r>
    <w:fldSimple w:instr=" PAGE 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 xmlns:a="http://schemas.openxmlformats.org/drawingml/2006/main">
      <w:drawing>
        <wp:inline distT="0" distB="0" distL="0" distR="0">
          <wp:extent cx="120000" cy="216000"/>
          <wp:effectExtent l="0" t="0" r="0" b="0"/>
          <wp:docPr id="9001" name="B-Brain symbol lef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20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40000" h="72000">
                        <a:moveTo>
                          <a:pt x="36000" y="0"/>
                        </a:moveTo>
                        <a:arcTo wR="36000" hR="36000" stAng="16200000" swAng="-10800000"/>
                        <a:close/>
                      </a:path>
                    </a:pathLst>
                  </a:custGeom>
                  <a:solidFill>
                    <a:srgbClr val="1F2430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 xmlns:a="http://schemas.openxmlformats.org/drawingml/2006/main">
      <w:drawing>
        <wp:inline distT="0" distB="0" distL="0" distR="0">
          <wp:extent cx="192000" cy="216000"/>
          <wp:effectExtent l="0" t="0" r="0" b="0"/>
          <wp:docPr id="9002" name="B-Brain symbol righ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92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64000" h="72000">
                        <a:moveTo>
                          <a:pt x="4000" y="0"/>
                        </a:moveTo>
                        <a:arcTo wR="36000" hR="36000" stAng="16200000" swAng="10800000"/>
                        <a:close/>
                      </a:path>
                    </a:pathLst>
                  </a:custGeom>
                  <a:solidFill>
                    <a:srgbClr val="E3A6A8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>
      <w:rPr>
        <w:rFonts w:ascii="Calibri" w:hAnsi="Calibri" w:cs="Calibri" w:eastAsia="Calibri"/>
        <w:b/>
        <w:color w:val="1F2430"/>
        <w:spacing w:val="-9"/>
        <w:position w:val="6"/>
        <w:sz w:val="29"/>
        <w:szCs w:val="29"/>
      </w:rPr>
      <w:t>B-Brain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88" w:lineRule="auto"/>
    </w:pPr>
    <w:rPr>
      <w:rFonts w:ascii="Calibri" w:hAnsi="Calibri" w:cs="Calibri" w:eastAsia="Calibri"/>
      <w:b w:val="0"/>
      <w:color w:val="1F2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="Calibri" w:hAnsi="Calibri" w:cs="Calibri" w:eastAsia="Calibri"/>
      <w:b/>
      <w:bCs/>
      <w:color w:val="1F2430"/>
      <w:spacing w:val="-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Calibri" w:hAnsi="Calibri" w:cs="Calibri" w:eastAsia="Calibri"/>
      <w:b/>
      <w:bCs/>
      <w:color w:val="1F2430"/>
      <w:spacing w:val="-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="Calibri" w:hAnsi="Calibri" w:cs="Calibri" w:eastAsia="Calibri"/>
      <w:b/>
      <w:bCs/>
      <w:color w:val="1F2430"/>
      <w:spacing w:val="-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="Calibri" w:hAnsi="Calibri" w:cs="Calibri" w:eastAsia="Calibri"/>
      <w:b/>
      <w:color w:val="1F2430"/>
      <w:spacing w:val="-17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80"/>
    </w:pPr>
    <w:rPr>
      <w:rFonts w:ascii="Calibri" w:hAnsi="Calibri" w:cs="Calibri" w:eastAsia="Calibri"/>
      <w:b w:val="0"/>
      <w:color w:val="5A5F6B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rsid w:val="00326F90"/>
    <w:pPr>
      <w:numPr>
        <w:numId w:val="1"/>
      </w:numPr>
      <w:spacing w:before="0" w:after="60" w:line="288" w:lineRule="auto"/>
      <w:contextualSpacing/>
    </w:pPr>
    <w:rPr>
      <w:rFonts w:ascii="Calibri" w:hAnsi="Calibri" w:cs="Calibri" w:eastAsia="Calibri"/>
      <w:b w:val="0"/>
      <w:color w:val="1F243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qFormat/>
    <w:rsid w:val="00326F90"/>
    <w:pPr>
      <w:numPr>
        <w:numId w:val="5"/>
      </w:numPr>
      <w:spacing w:before="0" w:after="60" w:line="288" w:lineRule="auto"/>
      <w:contextualSpacing/>
    </w:pPr>
    <w:rPr>
      <w:rFonts w:ascii="Calibri" w:hAnsi="Calibri" w:cs="Calibri" w:eastAsia="Calibri"/>
      <w:b w:val="0"/>
      <w:color w:val="1F2430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">
    <w:name w:val="Body"/>
    <w:basedOn w:val="Normal"/>
    <w:qFormat/>
    <w:pPr>
      <w:spacing w:before="0" w:after="120" w:line="288" w:lineRule="auto"/>
    </w:pPr>
    <w:rPr>
      <w:rFonts w:ascii="Calibri" w:hAnsi="Calibri" w:cs="Calibri" w:eastAsia="Calibri"/>
      <w:b w:val="0"/>
      <w:color w:val="1F2430"/>
      <w:sz w:val="21"/>
    </w:rPr>
  </w:style>
  <w:style w:type="paragraph" w:customStyle="1" w:styleId="Figurecaption">
    <w:name w:val="Figure caption"/>
    <w:basedOn w:val="Normal"/>
    <w:qFormat/>
    <w:pPr>
      <w:spacing w:before="80" w:after="240"/>
    </w:pPr>
    <w:rPr>
      <w:rFonts w:ascii="Calibri" w:hAnsi="Calibri" w:cs="Calibri" w:eastAsia="Calibri"/>
      <w:b w:val="0"/>
      <w:color w:val="5A5F6B"/>
      <w:sz w:val="18"/>
    </w:rPr>
  </w:style>
  <w:style w:type="paragraph" w:customStyle="1" w:styleId="KPIfigure">
    <w:name w:val="KPI figure"/>
    <w:basedOn w:val="Normal"/>
    <w:qFormat/>
    <w:pPr>
      <w:spacing w:before="0" w:after="0" w:line="240" w:lineRule="auto"/>
    </w:pPr>
    <w:rPr>
      <w:rFonts w:ascii="Consolas" w:hAnsi="Consolas" w:cs="Consolas" w:eastAsia="Consolas"/>
      <w:b/>
      <w:color w:val="1F2430"/>
      <w:sz w:val="36"/>
    </w:rPr>
  </w:style>
  <w:style w:type="paragraph" w:customStyle="1" w:styleId="KPIlabel">
    <w:name w:val="KPI label"/>
    <w:basedOn w:val="Normal"/>
    <w:qFormat/>
    <w:pPr>
      <w:spacing w:before="40" w:after="0" w:line="240" w:lineRule="auto"/>
    </w:pPr>
    <w:rPr>
      <w:rFonts w:ascii="Calibri" w:hAnsi="Calibri" w:cs="Calibri" w:eastAsia="Calibri"/>
      <w:b/>
      <w:color w:val="1F2430"/>
      <w:sz w:val="19"/>
    </w:rPr>
  </w:style>
  <w:style w:type="paragraph" w:customStyle="1" w:styleId="KPInote">
    <w:name w:val="KPI note"/>
    <w:basedOn w:val="Normal"/>
    <w:qFormat/>
    <w:pPr>
      <w:spacing w:before="20" w:after="0" w:line="240" w:lineRule="auto"/>
    </w:pPr>
    <w:rPr>
      <w:rFonts w:ascii="Calibri" w:hAnsi="Calibri" w:cs="Calibri" w:eastAsia="Calibri"/>
      <w:b w:val="0"/>
      <w:color w:val="5A5F6B"/>
      <w:sz w:val="17"/>
    </w:rPr>
  </w:style>
  <w:style w:type="paragraph" w:customStyle="1" w:styleId="Source">
    <w:name w:val="Source"/>
    <w:basedOn w:val="Normal"/>
    <w:qFormat/>
    <w:pPr>
      <w:spacing w:before="0" w:after="0"/>
    </w:pPr>
    <w:rPr>
      <w:rFonts w:ascii="Calibri" w:hAnsi="Calibri" w:cs="Calibri" w:eastAsia="Calibri"/>
      <w:b w:val="0"/>
      <w:color w:val="5A5F6B"/>
      <w:sz w:val="17"/>
    </w:rPr>
  </w:style>
  <w:style w:type="character" w:customStyle="1" w:styleId="Figure">
    <w:name w:val="Figure"/>
    <w:qFormat/>
    <w:rPr>
      <w:rFonts w:ascii="Consolas" w:hAnsi="Consolas" w:cs="Consolas" w:eastAsia="Consolas"/>
      <w:b w:val="0"/>
      <w:color w:val="1F2430"/>
      <w:sz w:val="20"/>
    </w:rPr>
  </w:style>
  <w:style w:type="table" w:customStyle="1" w:styleId="BBrainKPI">
    <w:name w:val="B-Brain KPI"/>
    <w:basedOn w:val="TableNormal"/>
    <w:uiPriority w:val="40"/>
    <w:qFormat/>
    <w:pPr>
      <w:spacing w:before="0" w:after="0"/>
    </w:pPr>
    <w:tblPr>
      <w:tblBorders>
        <w:top w:val="single" w:sz="18" w:space="0" w:color="E3A6A8"/>
        <w:insideV w:val="single" w:sz="48" w:space="0" w:color="FFFFFF"/>
      </w:tblBorders>
      <w:tblCellMar>
        <w:top w:w="120" w:type="dxa"/>
        <w:left w:w="140" w:type="dxa"/>
        <w:bottom w:w="120" w:type="dxa"/>
        <w:right w:w="140" w:type="dxa"/>
      </w:tblCellMar>
    </w:tblPr>
    <w:tcPr>
      <w:shd w:val="clear" w:color="auto" w:fill="F7F5F3"/>
    </w:tcPr>
  </w:style>
  <w:style w:type="table" w:customStyle="1" w:styleId="BBrainPlain">
    <w:name w:val="B-Brain plain"/>
    <w:basedOn w:val="TableNormal"/>
    <w:uiPriority w:val="41"/>
    <w:qFormat/>
    <w:pPr>
      <w:spacing w:before="0" w:after="0"/>
    </w:pPr>
    <w:rPr>
      <w:sz w:val="19"/>
    </w:rPr>
    <w:tblPr>
      <w:tblBorders>
        <w:top w:val="single" w:sz="4" w:space="0" w:color="E4DEDB"/>
        <w:bottom w:val="single" w:sz="4" w:space="0" w:color="E4DEDB"/>
        <w:insideH w:val="single" w:sz="4" w:space="0" w:color="E4DEDB"/>
      </w:tblBorders>
      <w:tblCellMar>
        <w:top w:w="30" w:type="dxa"/>
        <w:left w:w="140" w:type="dxa"/>
        <w:bottom w:w="30" w:type="dxa"/>
        <w:right w:w="140" w:type="dxa"/>
      </w:tblCellMar>
    </w:tblPr>
    <w:tcPr>
      <w:shd w:val="clear" w:color="auto" w:fill="FFFFFF"/>
    </w:tcPr>
    <w:tblStylePr w:type="firstRow">
      <w:rPr>
        <w:b/>
        <w:color w:val="1F2430"/>
      </w:rPr>
      <w:tcPr>
        <w:tcBorders>
          <w:bottom w:val="single" w:sz="12" w:space="0" w:color="1F2430"/>
        </w:tcBorders>
        <w:shd w:val="clear" w:color="auto" w:fill="F7F5F3"/>
      </w:tcPr>
    </w:tblStylePr>
    <w:tblStylePr w:type="lastRow">
      <w:rPr>
        <w:b/>
      </w:rPr>
      <w:tcPr>
        <w:tcBorders>
          <w:top w:val="single" w:sz="12" w:space="0" w:color="1F2430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-Brain">
  <a:themeElements>
    <a:clrScheme name="B-Brain light">
      <a:dk1>
        <a:srgbClr val="1F2430"/>
      </a:dk1>
      <a:lt1>
        <a:srgbClr val="F7F5F3"/>
      </a:lt1>
      <a:dk2>
        <a:srgbClr val="3A4150"/>
      </a:dk2>
      <a:lt2>
        <a:srgbClr val="FFFFFF"/>
      </a:lt2>
      <a:accent1>
        <a:srgbClr val="1F2430"/>
      </a:accent1>
      <a:accent2>
        <a:srgbClr val="D27073"/>
      </a:accent2>
      <a:accent3>
        <a:srgbClr val="5B6B9E"/>
      </a:accent3>
      <a:accent4>
        <a:srgbClr val="9E4A50"/>
      </a:accent4>
      <a:accent5>
        <a:srgbClr val="6E9584"/>
      </a:accent5>
      <a:accent6>
        <a:srgbClr val="B18741"/>
      </a:accent6>
      <a:hlink>
        <a:srgbClr val="9E4A50"/>
      </a:hlink>
      <a:folHlink>
        <a:srgbClr val="5A5F6B"/>
      </a:folHlink>
    </a:clrScheme>
    <a:fontScheme name="B-Brain">
      <a:majorFont>
        <a:latin typeface="Calibri" pitchFamily="34" charset="0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34" charset="0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-Brain fla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 name="paper">
      <a:srgbClr val="F7F5F3"/>
    </a:custClr>
    <a:custClr name="surface">
      <a:srgbClr val="FFFFFF"/>
    </a:custClr>
    <a:custClr name="ink">
      <a:srgbClr val="1F2430"/>
    </a:custClr>
    <a:custClr name="text-muted">
      <a:srgbClr val="5A5F6B"/>
    </a:custClr>
    <a:custClr name="border">
      <a:srgbClr val="E4DEDB"/>
    </a:custClr>
    <a:custClr name="slate">
      <a:srgbClr val="3A4150"/>
    </a:custClr>
    <a:custClr name="brain-pink">
      <a:srgbClr val="E3A6A8"/>
    </a:custClr>
    <a:custClr name="pink-text">
      <a:srgbClr val="9E4A50"/>
    </a:custClr>
    <a:custClr name="brand-ink">
      <a:srgbClr val="1F2430"/>
    </a:custClr>
    <a:custClr name="brand-paper">
      <a:srgbClr val="F7F5F3"/>
    </a:custClr>
    <a:custClr name="good">
      <a:srgbClr val="008226"/>
    </a:custClr>
    <a:custClr name="watch">
      <a:srgbClr val="8A5A00"/>
    </a:custClr>
    <a:custClr name="bad">
      <a:srgbClr val="B8430B"/>
    </a:custClr>
    <a:custClr name="chart-1">
      <a:srgbClr val="1F2430"/>
    </a:custClr>
    <a:custClr name="chart-2">
      <a:srgbClr val="D27073"/>
    </a:custClr>
    <a:custClr name="chart-3">
      <a:srgbClr val="5B6B9E"/>
    </a:custClr>
    <a:custClr name="chart-4">
      <a:srgbClr val="9E4A50"/>
    </a:custClr>
    <a:custClr name="chart-5">
      <a:srgbClr val="6E9584"/>
    </a:custClr>
    <a:custClr name="chart-6">
      <a:srgbClr val="B18741"/>
    </a:custClr>
  </a:custClr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CRM against invoiced: the reconciliation</dc:title>
  <dc:subject>B-Brain brand kit</dc:subject>
  <dc:creator>B-Brain</dc:creator>
  <cp:keywords/>
  <dc:description>generated by python-docx</dc:description>
  <cp:lastModifiedBy>B-Brain</cp:lastModifiedBy>
  <cp:revision>1</cp:revision>
  <dcterms:created xsi:type="dcterms:W3CDTF">2026-10-09T09:00:00Z</dcterms:created>
  <dcterms:modified xsi:type="dcterms:W3CDTF">2026-10-14T19:03:49Z</dcterms:modified>
  <cp:category/>
</cp:coreProperties>
</file>